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加油站安全生产标准化评审标准</w:t>
      </w:r>
    </w:p>
    <w:tbl>
      <w:tblPr>
        <w:tblStyle w:val="3"/>
        <w:tblW w:w="145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4"/>
        <w:gridCol w:w="16"/>
        <w:gridCol w:w="17"/>
        <w:gridCol w:w="18"/>
        <w:gridCol w:w="16"/>
        <w:gridCol w:w="17"/>
        <w:gridCol w:w="4383"/>
        <w:gridCol w:w="16"/>
        <w:gridCol w:w="18"/>
        <w:gridCol w:w="20"/>
        <w:gridCol w:w="13"/>
        <w:gridCol w:w="1333"/>
        <w:gridCol w:w="3204"/>
        <w:gridCol w:w="13"/>
        <w:gridCol w:w="17"/>
        <w:gridCol w:w="16"/>
        <w:gridCol w:w="38"/>
        <w:gridCol w:w="12"/>
        <w:gridCol w:w="450"/>
        <w:gridCol w:w="1621"/>
        <w:gridCol w:w="17"/>
        <w:gridCol w:w="16"/>
        <w:gridCol w:w="17"/>
        <w:gridCol w:w="19"/>
        <w:gridCol w:w="531"/>
        <w:gridCol w:w="17"/>
        <w:gridCol w:w="16"/>
        <w:gridCol w:w="17"/>
        <w:gridCol w:w="17"/>
        <w:gridCol w:w="180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1、法律法规和标准（</w:t>
            </w:r>
            <w:r>
              <w:rPr>
                <w:rFonts w:hint="eastAsia" w:ascii="仿宋_GB2312" w:hAnsi="仿宋_GB2312" w:eastAsia="仿宋_GB2312" w:cs="仿宋_GB2312"/>
                <w:b/>
                <w:bCs/>
                <w:color w:val="auto"/>
                <w:sz w:val="24"/>
                <w:szCs w:val="24"/>
              </w:rPr>
              <w:t>100）  （评审得分88分）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885"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71"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6"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60"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ind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法律法规的识别和获取</w:t>
            </w:r>
          </w:p>
          <w:p>
            <w:pPr>
              <w:spacing w:beforeLines="20" w:afterLines="20"/>
              <w:ind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（50）</w:t>
            </w: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1.1.1.1建立识别和获取适用的安全生产法律法规、标准及政府其他有关要求的管理制度；</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识别和获取的法律、法规、标准及政府其他要求，一项不符合扣1分；</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《安全生产法》、《危险化学品目录》《汽车加油加气站设计与施工规范》等电子版文件未及时拾取、更新；法律法规对相关方宣传记录不全；扣10分。</w:t>
            </w:r>
          </w:p>
        </w:tc>
        <w:tc>
          <w:tcPr>
            <w:tcW w:w="616"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40</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1" w:hRule="atLeast"/>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ind w:firstLine="120" w:firstLineChars="50"/>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1.1.1.2明确责任部门、获取渠道、方式；</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法律法规、标准及政府其他要求未识别到条款，一项扣1分；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ind w:firstLine="120" w:firstLineChars="50"/>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1.1.1.3及时识别和获取适用的</w:t>
            </w:r>
            <w:bookmarkStart w:id="1" w:name="_GoBack"/>
            <w:bookmarkEnd w:id="1"/>
            <w:r>
              <w:rPr>
                <w:rFonts w:hint="eastAsia" w:ascii="仿宋_GB2312" w:hAnsi="仿宋_GB2312" w:eastAsia="仿宋_GB2312" w:cs="仿宋_GB2312"/>
                <w:color w:val="auto"/>
                <w:sz w:val="24"/>
                <w:szCs w:val="24"/>
              </w:rPr>
              <w:t>安全生产法律法规和标准及政府其他有关要求；</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未形成清单或文本数据库，扣5分；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ind w:firstLine="120" w:firstLineChars="50"/>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1.1.1.4形成法律法规、标准及政府其他有关要求的清单和文本数据库，并定期更新。</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未及时更新清单或文本数据库，扣5分。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1.1.2.1采用适当的方式、方法，将适用的安全生产法律、法规、标准及其他要求及时传达给相关方。</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1.无法律法规宣传、培训计划，扣15分；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2.未进行宣传培训或无记录，一项不符合扣5分。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1.2法律、法规和标准符合性评价</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（50分）</w:t>
            </w: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1.2.1.1每年至少1次对适用的安全生产法律、法规、标准及其他有关要求的执行情况进行符合性评价；</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未对所有适用的法律、法规、标准及其他有关要求进行评价，一项扣2分；</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6"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50</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1.2.1.2对评价出的不符合项进行原因分析，制定整改计划和措施；</w:t>
            </w:r>
          </w:p>
          <w:p>
            <w:pPr>
              <w:spacing w:beforeLines="20" w:afterLines="20"/>
              <w:rPr>
                <w:rFonts w:hint="eastAsia" w:ascii="仿宋_GB2312" w:hAnsi="仿宋_GB2312" w:eastAsia="仿宋_GB2312" w:cs="仿宋_GB2312"/>
                <w:color w:val="auto"/>
                <w:sz w:val="24"/>
                <w:szCs w:val="24"/>
              </w:rPr>
            </w:pP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对评价出的不符合项未进行原因分析的，一项扣2分；未制定整改计划或整改措施，或整改措施不落实，一项扣2分。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bookmarkStart w:id="0" w:name="_Toc329349926"/>
            <w:r>
              <w:rPr>
                <w:rFonts w:hint="eastAsia" w:ascii="仿宋_GB2312" w:hAnsi="仿宋_GB2312" w:eastAsia="仿宋_GB2312" w:cs="仿宋_GB2312"/>
                <w:b/>
                <w:color w:val="auto"/>
                <w:sz w:val="24"/>
                <w:szCs w:val="24"/>
              </w:rPr>
              <w:t>2、机构和职责（</w:t>
            </w:r>
            <w:r>
              <w:rPr>
                <w:rFonts w:hint="eastAsia" w:ascii="仿宋_GB2312" w:hAnsi="仿宋_GB2312" w:eastAsia="仿宋_GB2312" w:cs="仿宋_GB2312"/>
                <w:b/>
                <w:bCs/>
                <w:color w:val="auto"/>
                <w:sz w:val="24"/>
                <w:szCs w:val="24"/>
              </w:rPr>
              <w:t xml:space="preserve">100）  （评审得分90分）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w:t>
            </w:r>
          </w:p>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要素</w:t>
            </w: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71"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6"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pacing w:val="-12"/>
                <w:sz w:val="24"/>
                <w:szCs w:val="24"/>
              </w:rPr>
              <w:t>实得分</w:t>
            </w:r>
          </w:p>
        </w:tc>
        <w:tc>
          <w:tcPr>
            <w:tcW w:w="1860"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2.1</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方针</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目标</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(20)</w:t>
            </w: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2.1.1.1主要负责人组织制定符合本加油站实际的、文件化的安全生产方针；</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1.安全生产目标不满足标准要求，一项不符合扣1分；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未制定安全生产方针或年度安全生产目标，扣20分（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6"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20</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2.1.1.2主要负责人组织制定符合加油站实际的、文件化的年度安全生产目标。</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2.1.2.1签订安全目标责任书；</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1.每缺一个安全目标责任书扣2分；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2.未定期考核，扣4分；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未签订安全目标责任书，扣20分（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2.1.2.2定期考核目标完成情况。</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2.2</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负责人</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（20）</w:t>
            </w: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2.2.1.1明确加油站主要负责人是安全生产第一责任人，履行安全生产法规定的职责；</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有关人员不清楚谁是第一责任人，1人次扣1分。未明确第一责任人，或不符合规定，扣20分（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安全会议记录不规范；扣4分。</w:t>
            </w:r>
          </w:p>
        </w:tc>
        <w:tc>
          <w:tcPr>
            <w:tcW w:w="616"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16</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2.2.1.2主要负责人对本单位的安生产工作全面负责。</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ind w:firstLine="120" w:firstLineChars="50"/>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2.2.2.1加油站主要负责人要制定安全标准化实施方案，明确实施时间、计划，制定安全文化建设方案</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1.安全标准化实施方案内容，一项不符合扣2分。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2.2.2.2安全承诺的内容应明确、公开、文件化。</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1.主要负责人未作出安全承诺，扣3分。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2.2.2.3.主要负责人定期组织召开会议，解决安全管理问题。</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1.主要负责人未定期召开会议或听取汇报，扣4分；</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2.未形成会议记录或纪要，扣2分；</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3.安全管理问题未及时解决，一项不符合扣2分。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2.3</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职责</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（30）</w:t>
            </w: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2.3.1.1明确主要负责人、管理人员、从业人员的安全职责，做到“一岗一责”。</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包括:</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（1）、加油站长安全责任制，</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（2）、安全管理人员安全责任制；</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（3）、班长（计量卸油员）责任制；</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（4）、加油员安全责任制；</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（5）、开票收款员安全责任制</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1.未建立健全主要负责人、从业人员的安全职责，每缺一岗位扣5分；</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2、从业人员对其安全职责不清楚，1人次扣2分。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1.未建立安全生产责任制，扣100分（A级要素否决项）；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2.主要负责人对其安全职责不清楚，扣30分（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6"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30</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2.3.2.1建立安全责任考核机制；</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1.未建立安全责任考核机制扣10分；</w:t>
            </w:r>
          </w:p>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2.未按考核制度对从业人员的安全责任制进行定期考核，予以奖惩，一项不符合扣2分。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未建立安全责任制考核机制，扣30分（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2.3.2.2对从业人员安全生产责任制进行定期考核，予以奖惩。</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2.4</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组织机构（20）</w:t>
            </w: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2.4.1.1设置安全管理机构；</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未设置安全管理机构或配备安全管理人员，扣100分（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6"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20</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2.4.1.2每个作业班次配备不少于1名专职（或兼职）的安全管理人员。</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2.5</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安全生产投入</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w:t>
            </w: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2.5.1.1根据《高危行业企业安全生产费用财务管理暂行办法》（财企[2006]478号）及地方规定标准提取，并建立使用安全生产费用台帐。</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安全生产费用提取标准不符合要求，扣5分。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未按有关规定投入安全生产费用，扣10分（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71"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安全费用提取情况与实际投入有出入，安全费用台帐记录不全；扣5分。</w:t>
            </w:r>
          </w:p>
        </w:tc>
        <w:tc>
          <w:tcPr>
            <w:tcW w:w="616"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bCs/>
                <w:color w:val="auto"/>
                <w:sz w:val="24"/>
                <w:szCs w:val="24"/>
              </w:rPr>
            </w:pPr>
            <w:r>
              <w:rPr>
                <w:rFonts w:hint="eastAsia" w:ascii="仿宋_GB2312" w:hAnsi="仿宋_GB2312" w:eastAsia="仿宋_GB2312" w:cs="仿宋_GB2312"/>
                <w:i w:val="0"/>
                <w:color w:val="auto"/>
                <w:kern w:val="0"/>
                <w:sz w:val="24"/>
                <w:szCs w:val="24"/>
                <w:u w:val="none"/>
                <w:lang w:val="en-US" w:eastAsia="zh-CN"/>
              </w:rPr>
              <w:t>5</w:t>
            </w:r>
          </w:p>
        </w:tc>
        <w:tc>
          <w:tcPr>
            <w:tcW w:w="186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3"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2.5.1.2依法为从业人员缴纳工伤保险费。</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ind w:left="-16" w:leftChars="-8" w:firstLine="16" w:firstLineChars="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未参加工伤社会保险，扣2分，每漏缴工伤保险费1人次扣一分。</w:t>
            </w:r>
          </w:p>
        </w:tc>
        <w:tc>
          <w:tcPr>
            <w:tcW w:w="2171"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jc w:val="center"/>
              <w:rPr>
                <w:rFonts w:hint="eastAsia" w:ascii="仿宋_GB2312" w:hAnsi="仿宋_GB2312" w:eastAsia="仿宋_GB2312" w:cs="仿宋_GB2312"/>
                <w:color w:val="auto"/>
                <w:sz w:val="24"/>
                <w:szCs w:val="24"/>
              </w:rPr>
            </w:pPr>
          </w:p>
          <w:bookmarkEnd w:id="0"/>
        </w:tc>
        <w:tc>
          <w:tcPr>
            <w:tcW w:w="616"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left="-16" w:leftChars="-8" w:firstLine="16" w:firstLineChars="7"/>
              <w:jc w:val="center"/>
              <w:rPr>
                <w:rFonts w:hint="eastAsia" w:ascii="仿宋_GB2312" w:hAnsi="仿宋_GB2312" w:eastAsia="仿宋_GB2312" w:cs="仿宋_GB2312"/>
                <w:color w:val="auto"/>
                <w:sz w:val="24"/>
                <w:szCs w:val="24"/>
              </w:rPr>
            </w:pPr>
          </w:p>
        </w:tc>
        <w:tc>
          <w:tcPr>
            <w:tcW w:w="186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3、风险评价（</w:t>
            </w:r>
            <w:r>
              <w:rPr>
                <w:rFonts w:hint="eastAsia" w:ascii="仿宋_GB2312" w:hAnsi="仿宋_GB2312" w:eastAsia="仿宋_GB2312" w:cs="仿宋_GB2312"/>
                <w:b/>
                <w:bCs/>
                <w:color w:val="auto"/>
                <w:sz w:val="24"/>
                <w:szCs w:val="24"/>
              </w:rPr>
              <w:t xml:space="preserve">100）  （评审得分：80分）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88"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550"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84" w:type="dxa"/>
            <w:gridSpan w:val="8"/>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0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范围与评价方法（20）</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color w:val="auto"/>
                <w:sz w:val="24"/>
                <w:szCs w:val="24"/>
              </w:rPr>
              <w:t>3.1.1.1.应</w:t>
            </w:r>
            <w:r>
              <w:rPr>
                <w:rFonts w:hint="eastAsia" w:ascii="仿宋_GB2312" w:hAnsi="仿宋_GB2312" w:eastAsia="仿宋_GB2312" w:cs="仿宋_GB2312"/>
                <w:bCs/>
                <w:color w:val="auto"/>
                <w:kern w:val="0"/>
                <w:sz w:val="24"/>
                <w:szCs w:val="24"/>
              </w:rPr>
              <w:t>重点</w:t>
            </w:r>
            <w:r>
              <w:rPr>
                <w:rFonts w:hint="eastAsia" w:ascii="仿宋_GB2312" w:hAnsi="仿宋_GB2312" w:eastAsia="仿宋_GB2312" w:cs="仿宋_GB2312"/>
                <w:color w:val="auto"/>
                <w:sz w:val="24"/>
                <w:szCs w:val="24"/>
              </w:rPr>
              <w:t>但不局限于</w:t>
            </w:r>
            <w:r>
              <w:rPr>
                <w:rFonts w:hint="eastAsia" w:ascii="仿宋_GB2312" w:hAnsi="仿宋_GB2312" w:eastAsia="仿宋_GB2312" w:cs="仿宋_GB2312"/>
                <w:bCs/>
                <w:color w:val="auto"/>
                <w:kern w:val="0"/>
                <w:sz w:val="24"/>
                <w:szCs w:val="24"/>
              </w:rPr>
              <w:t>对以下场所、设备设施、作业活动等进行风险评价：加油过程；卸油过程；检维修；储油罐；加油机等。</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1.未列入风险评价的范围，缺一项扣1分；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未按规定的频次和时间开展风险评价，扣20分（B级要素否决项）。</w:t>
            </w:r>
          </w:p>
        </w:tc>
        <w:tc>
          <w:tcPr>
            <w:tcW w:w="2184" w:type="dxa"/>
            <w:gridSpan w:val="8"/>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风险评价报告未包括评价通知内的所有范围，如站房、罩棚等；扣4分。</w:t>
            </w:r>
          </w:p>
        </w:tc>
        <w:tc>
          <w:tcPr>
            <w:tcW w:w="600"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rPr>
              <w:t>16</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3.2风险控制（20）</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3.2.1.1.根据风险评价的结果，建立重大风险清单；</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1.未建立重大风险清单，扣1分；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2.风险控制措施缺乏针对性、可操作性和可靠性，一项扣1分。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未将重大风险降到可以接受的程度，扣20分（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84" w:type="dxa"/>
            <w:gridSpan w:val="8"/>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未见重大风险清单；扣1分。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19</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3.2.1.2.结合实际情况，确定优先顺序，制定措施消减风险，将风险控制在可以接受的程度；</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8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3.2.13.风险控制措施符合标准要求。</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8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隐患排查与治理（20）</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3.3.1.1.建立隐患治理台帐；</w:t>
            </w:r>
          </w:p>
        </w:tc>
        <w:tc>
          <w:tcPr>
            <w:tcW w:w="4550"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1.未建立隐患治理台账，扣5分；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2.未向相关部门下达隐患治理通知, 一项扣2分；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3.通知内容不符合要求，一项扣1分。</w:t>
            </w:r>
          </w:p>
        </w:tc>
        <w:tc>
          <w:tcPr>
            <w:tcW w:w="2184" w:type="dxa"/>
            <w:gridSpan w:val="8"/>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隐患治理台账记录不全；隐患治理通知记录不全；扣4分。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16</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3.3.1.2.对查出的每个隐患都下达隐患治理通知，明确责任人、治理时限；</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8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8"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3.3.1.3按期完成隐患治理。</w:t>
            </w:r>
          </w:p>
        </w:tc>
        <w:tc>
          <w:tcPr>
            <w:tcW w:w="4550"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218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p>
            <w:pPr>
              <w:spacing w:beforeLines="20" w:afterLines="20"/>
              <w:jc w:val="center"/>
              <w:rPr>
                <w:rStyle w:val="5"/>
                <w:rFonts w:hint="eastAsia" w:ascii="仿宋_GB2312" w:hAnsi="仿宋_GB2312" w:eastAsia="仿宋_GB2312" w:cs="仿宋_GB2312"/>
                <w:color w:val="auto"/>
                <w:sz w:val="24"/>
                <w:szCs w:val="24"/>
              </w:rPr>
            </w:pPr>
            <w:r>
              <w:rPr>
                <w:rStyle w:val="5"/>
                <w:rFonts w:hint="eastAsia" w:ascii="仿宋_GB2312" w:hAnsi="仿宋_GB2312" w:eastAsia="仿宋_GB2312" w:cs="仿宋_GB2312"/>
                <w:color w:val="auto"/>
                <w:sz w:val="24"/>
                <w:szCs w:val="24"/>
              </w:rPr>
              <w:t>变更</w:t>
            </w:r>
          </w:p>
          <w:p>
            <w:pPr>
              <w:spacing w:beforeLines="20" w:afterLines="20"/>
              <w:jc w:val="center"/>
              <w:rPr>
                <w:rFonts w:hint="eastAsia" w:ascii="仿宋_GB2312" w:hAnsi="仿宋_GB2312" w:eastAsia="仿宋_GB2312" w:cs="仿宋_GB2312"/>
                <w:bCs/>
                <w:color w:val="auto"/>
                <w:sz w:val="24"/>
                <w:szCs w:val="24"/>
              </w:rPr>
            </w:pPr>
            <w:r>
              <w:rPr>
                <w:rStyle w:val="5"/>
                <w:rFonts w:hint="eastAsia" w:ascii="仿宋_GB2312" w:hAnsi="仿宋_GB2312" w:eastAsia="仿宋_GB2312" w:cs="仿宋_GB2312"/>
                <w:color w:val="auto"/>
                <w:sz w:val="24"/>
                <w:szCs w:val="24"/>
              </w:rPr>
              <w:t>（20分）</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3.4.1.1严格履行变更程序及要求</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1.未按程序实施变更，一项扣5分；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2.履行变更程序过程，一项不符合扣2分；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3.变更实施现场一项不符合，扣2分。</w:t>
            </w:r>
          </w:p>
        </w:tc>
        <w:tc>
          <w:tcPr>
            <w:tcW w:w="2184" w:type="dxa"/>
            <w:gridSpan w:val="8"/>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3.5</w:t>
            </w:r>
            <w:r>
              <w:rPr>
                <w:rFonts w:hint="eastAsia" w:ascii="仿宋_GB2312" w:hAnsi="仿宋_GB2312" w:eastAsia="仿宋_GB2312" w:cs="仿宋_GB2312"/>
                <w:color w:val="auto"/>
                <w:sz w:val="24"/>
                <w:szCs w:val="24"/>
              </w:rPr>
              <w:t>风险信息更新（10分）</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3.5.1.1非常规活动及危险性作业实施前，应识别危险、有害因素，排查隐患。</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未按规定进行危险、有害因素识别，一项扣2分；识别不充分，一项不符合扣1分。</w:t>
            </w:r>
          </w:p>
        </w:tc>
        <w:tc>
          <w:tcPr>
            <w:tcW w:w="2184" w:type="dxa"/>
            <w:gridSpan w:val="8"/>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有2项有害因素没识别；有3项不充分；扣7分。</w:t>
            </w:r>
          </w:p>
        </w:tc>
        <w:tc>
          <w:tcPr>
            <w:tcW w:w="600"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3.6供应商（10分）</w:t>
            </w:r>
          </w:p>
        </w:tc>
        <w:tc>
          <w:tcPr>
            <w:tcW w:w="4488"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3.6.1.1建立供应商名录、档案。</w:t>
            </w:r>
          </w:p>
        </w:tc>
        <w:tc>
          <w:tcPr>
            <w:tcW w:w="4550"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1.未建立供应商管理制度，一项扣2分；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Style w:val="4"/>
                <w:rFonts w:hint="eastAsia" w:ascii="仿宋_GB2312" w:hAnsi="仿宋_GB2312" w:eastAsia="仿宋_GB2312" w:cs="仿宋_GB2312"/>
                <w:color w:val="auto"/>
                <w:sz w:val="24"/>
                <w:szCs w:val="24"/>
              </w:rPr>
              <w:t>未建立</w:t>
            </w:r>
            <w:r>
              <w:rPr>
                <w:rStyle w:val="5"/>
                <w:rFonts w:hint="eastAsia" w:ascii="仿宋_GB2312" w:hAnsi="仿宋_GB2312" w:eastAsia="仿宋_GB2312" w:cs="仿宋_GB2312"/>
                <w:color w:val="auto"/>
                <w:sz w:val="24"/>
                <w:szCs w:val="24"/>
              </w:rPr>
              <w:t>供应商名录、</w:t>
            </w:r>
            <w:r>
              <w:rPr>
                <w:rFonts w:hint="eastAsia" w:ascii="仿宋_GB2312" w:hAnsi="仿宋_GB2312" w:eastAsia="仿宋_GB2312" w:cs="仿宋_GB2312"/>
                <w:bCs/>
                <w:color w:val="auto"/>
                <w:sz w:val="24"/>
                <w:szCs w:val="24"/>
              </w:rPr>
              <w:t>档案</w:t>
            </w:r>
            <w:r>
              <w:rPr>
                <w:rStyle w:val="5"/>
                <w:rFonts w:hint="eastAsia" w:ascii="仿宋_GB2312" w:hAnsi="仿宋_GB2312" w:eastAsia="仿宋_GB2312" w:cs="仿宋_GB2312"/>
                <w:color w:val="auto"/>
                <w:sz w:val="24"/>
                <w:szCs w:val="24"/>
              </w:rPr>
              <w:t>，一项扣2分</w:t>
            </w:r>
            <w:r>
              <w:rPr>
                <w:rFonts w:hint="eastAsia" w:ascii="仿宋_GB2312" w:hAnsi="仿宋_GB2312" w:eastAsia="仿宋_GB2312" w:cs="仿宋_GB2312"/>
                <w:color w:val="auto"/>
                <w:sz w:val="24"/>
                <w:szCs w:val="24"/>
              </w:rPr>
              <w:t>。</w:t>
            </w:r>
          </w:p>
        </w:tc>
        <w:tc>
          <w:tcPr>
            <w:tcW w:w="2184" w:type="dxa"/>
            <w:gridSpan w:val="8"/>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4、管理制度（</w:t>
            </w:r>
            <w:r>
              <w:rPr>
                <w:rFonts w:hint="eastAsia" w:ascii="仿宋_GB2312" w:hAnsi="仿宋_GB2312" w:eastAsia="仿宋_GB2312" w:cs="仿宋_GB2312"/>
                <w:b/>
                <w:bCs/>
                <w:color w:val="auto"/>
                <w:sz w:val="24"/>
                <w:szCs w:val="24"/>
              </w:rPr>
              <w:t xml:space="preserve">100）  （评审得分：85分）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85"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67"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 安全生产规章制度（40）</w:t>
            </w: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4.1.1.1通过识别和评估，</w:t>
            </w:r>
            <w:r>
              <w:rPr>
                <w:rFonts w:hint="eastAsia" w:ascii="仿宋_GB2312" w:hAnsi="仿宋_GB2312" w:eastAsia="仿宋_GB2312" w:cs="仿宋_GB2312"/>
                <w:color w:val="auto"/>
                <w:kern w:val="0"/>
                <w:sz w:val="24"/>
                <w:szCs w:val="24"/>
              </w:rPr>
              <w:t>将适用于本加油站的有关法律法规和有关标准规定转化为加油站安全生产规章制度的具体内容，并严格落实；</w:t>
            </w:r>
          </w:p>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应编制但不局限于下列内容的规章制度：</w:t>
            </w:r>
          </w:p>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(１) 安全生产责任制；(２)安全例会制度</w:t>
            </w:r>
          </w:p>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(３) 安全教育培训制度；(４) 安全防火制度；(５) 电气管理制度；(６) 安全检查制度；(７) 消防管理制度；(８) 事故管理制度；(９) 交接班制度；(1０) 临时动火、进入受限空间作业管理制度；(1１) 临时用电作业、高处作业管理制度；（1２）隐患排查治理管理制度。等</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1.未将</w:t>
            </w:r>
            <w:r>
              <w:rPr>
                <w:rFonts w:hint="eastAsia" w:ascii="仿宋_GB2312" w:hAnsi="仿宋_GB2312" w:eastAsia="仿宋_GB2312" w:cs="仿宋_GB2312"/>
                <w:color w:val="auto"/>
                <w:kern w:val="0"/>
                <w:sz w:val="24"/>
                <w:szCs w:val="24"/>
              </w:rPr>
              <w:t>法律法规的有关规定和标准的有关要求转化为加油站安全生产规章制度或安全操作规程的具体内容，一项不符合扣2分；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2缺少相关内容的管理制度，一项扣2分。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1.未制定动火作业管理制度或进入受限空间管理制度，扣100分（A级要素否决项）；</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2.未制定以下规章制度之一，扣40分（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）：隐患排查治理、临时用电作业、高处作业。</w:t>
            </w:r>
          </w:p>
        </w:tc>
        <w:tc>
          <w:tcPr>
            <w:tcW w:w="2167" w:type="dxa"/>
            <w:gridSpan w:val="7"/>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未完全将法律法规的有关规定和标准的有关要求转化为加油站安全生产规章制度；未见绩效考核制度；扣10分。</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4.2操作规程（40）</w:t>
            </w: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4.2.1.1.以危险、有害因素分析为依据，编制</w:t>
            </w:r>
            <w:r>
              <w:rPr>
                <w:rFonts w:hint="eastAsia" w:ascii="仿宋_GB2312" w:hAnsi="仿宋_GB2312" w:eastAsia="仿宋_GB2312" w:cs="仿宋_GB2312"/>
                <w:bCs/>
                <w:color w:val="auto"/>
                <w:kern w:val="0"/>
                <w:sz w:val="24"/>
                <w:szCs w:val="24"/>
              </w:rPr>
              <w:t>但不局限于下列</w:t>
            </w:r>
            <w:r>
              <w:rPr>
                <w:rFonts w:hint="eastAsia" w:ascii="仿宋_GB2312" w:hAnsi="仿宋_GB2312" w:eastAsia="仿宋_GB2312" w:cs="仿宋_GB2312"/>
                <w:color w:val="auto"/>
                <w:sz w:val="24"/>
                <w:szCs w:val="24"/>
              </w:rPr>
              <w:t>操作规程：</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(1) 加油作业指导书；(2) 卸油作业指导书；(3) 发电</w:t>
            </w:r>
            <w:r>
              <w:rPr>
                <w:rFonts w:hint="eastAsia" w:ascii="仿宋_GB2312" w:hAnsi="仿宋_GB2312" w:eastAsia="仿宋_GB2312" w:cs="仿宋_GB2312"/>
                <w:color w:val="auto"/>
                <w:sz w:val="24"/>
                <w:szCs w:val="24"/>
              </w:rPr>
              <w:t>、变配电</w:t>
            </w:r>
            <w:r>
              <w:rPr>
                <w:rFonts w:hint="eastAsia" w:ascii="仿宋_GB2312" w:hAnsi="仿宋_GB2312" w:eastAsia="仿宋_GB2312" w:cs="仿宋_GB2312"/>
                <w:bCs/>
                <w:color w:val="auto"/>
                <w:kern w:val="0"/>
                <w:sz w:val="24"/>
                <w:szCs w:val="24"/>
              </w:rPr>
              <w:t>作业指导书；(4) 计量作业指导书；(5) 清罐作业指导书；(6) 电器检修作业指导书；(7) 加油机维护检修作业指导书；(8) 交接班作业指导书；(9) 灭火预案演练作业指导书； (10) 消防设施维护作业指导书；(11) 油罐维保作业指导书；(12) 油罐验收作业指导书；(13) 升降级作业指导书；(14) 数质量校验作业指导书。</w:t>
            </w:r>
          </w:p>
        </w:tc>
        <w:tc>
          <w:tcPr>
            <w:tcW w:w="457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1.有岗位未编制操作规程，或岗位无法提供操作规程，扣40分（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 xml:space="preserve">）；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2.操作规程内容一项不符合扣1分。</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40</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5"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4.2.1.2.发放到相关岗位。</w:t>
            </w:r>
          </w:p>
        </w:tc>
        <w:tc>
          <w:tcPr>
            <w:tcW w:w="457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4.2.1.3新工艺、新技术、新装置投用前，应组织编制新的操作规程。</w:t>
            </w:r>
          </w:p>
        </w:tc>
        <w:tc>
          <w:tcPr>
            <w:tcW w:w="4570"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投用前未编制操作规程，扣40分（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修订（20）</w:t>
            </w: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4.3.1.1.规定安全生产规章制度和操作规程评审、修订的时机和频次；</w:t>
            </w:r>
          </w:p>
        </w:tc>
        <w:tc>
          <w:tcPr>
            <w:tcW w:w="4570"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1.未规定评审和修订时机和频次，扣3分；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2.未按规定评审和修订扣3分，漏一项制度扣1分。</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未规定评审和修订时机和频次；扣3分。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17</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4.3.1.2.</w:t>
            </w:r>
            <w:r>
              <w:rPr>
                <w:rFonts w:hint="eastAsia" w:ascii="仿宋_GB2312" w:hAnsi="仿宋_GB2312" w:eastAsia="仿宋_GB2312" w:cs="仿宋_GB2312"/>
                <w:color w:val="auto"/>
                <w:kern w:val="0"/>
                <w:sz w:val="24"/>
                <w:szCs w:val="24"/>
              </w:rPr>
              <w:t>安全生产规章制度、安全操作规程至少每3年评审和修订一次；</w:t>
            </w:r>
          </w:p>
        </w:tc>
        <w:tc>
          <w:tcPr>
            <w:tcW w:w="457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85"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4.3.1.3.在发生有关情况时，应及时评审、修订相关的规章制度或操作规程。</w:t>
            </w:r>
          </w:p>
        </w:tc>
        <w:tc>
          <w:tcPr>
            <w:tcW w:w="4570" w:type="dxa"/>
            <w:gridSpan w:val="4"/>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5、培训与教育（</w:t>
            </w:r>
            <w:r>
              <w:rPr>
                <w:rFonts w:hint="eastAsia" w:ascii="仿宋_GB2312" w:hAnsi="仿宋_GB2312" w:eastAsia="仿宋_GB2312" w:cs="仿宋_GB2312"/>
                <w:b/>
                <w:bCs/>
                <w:color w:val="auto"/>
                <w:sz w:val="24"/>
                <w:szCs w:val="24"/>
              </w:rPr>
              <w:t>100）  （评审得分：85分）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67"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5.1培训教育管理（20）</w:t>
            </w: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5.1.1.1.制定全员安全培训、教育目标和要求；</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1.未制定全员安全培训、教育目标和计划，扣1分；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2.未按照计划要求实施培训，1次不符合扣1分。</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安全培训教育档案记录不规范；扣4分。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16</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2" w:leftChars="-10" w:hanging="19" w:hangingChars="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5.1.1.2.制定安全培训、教育计划并实施。</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5.1.2.1建立从业人员安全培训教育档案。</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1.未建立档案，扣5分；每少1人档案，扣1分；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2.培训教育档案记录不符合规定要求，一项扣1分。</w:t>
            </w: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从业人员岗位标准（10）</w:t>
            </w: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5.2.1.1加油站对从业人员岗位标准要求应文件化，做到明确具体。</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1" w:right="130" w:rightChars="6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1.从业人员岗位标准不明确，一项扣1分；</w:t>
            </w:r>
          </w:p>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2.上岗的从业人员未满足岗位标准要求，1人次扣2分。</w:t>
            </w:r>
          </w:p>
        </w:tc>
        <w:tc>
          <w:tcPr>
            <w:tcW w:w="2167" w:type="dxa"/>
            <w:gridSpan w:val="7"/>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有1人不满足岗位标准要求;扣2分。</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8</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管理人员培训</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4450"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5.3.1.1主要负责人和安全生产管理人员经安全监管部门对其安全生产知识和管理能力考核合格，取得安全资格证书后方可任职，并按规定参加每年再培训。</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 主要负责人或安全生产管理人员未取得安全资格证书或证书失效，扣20分（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2.主要负责人和安全生产管理人员未按规定每年进行再培训，1人次不符合扣5分。</w:t>
            </w:r>
          </w:p>
        </w:tc>
        <w:tc>
          <w:tcPr>
            <w:tcW w:w="2167" w:type="dxa"/>
            <w:gridSpan w:val="7"/>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从业人员培训教育</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4450"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5.4.1.1.应对从业人员进行三级安全培训教育，并经考核合格后方可上岗。</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1.未经安全培训教育或考核不合格上岗，1人次扣2分。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未接受三级安全培训教育或考核不合格上岗，1人次扣30分（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未见特种作业人员管理台账；扣2分。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28</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5.4.1.2.对从业人员进行</w:t>
            </w:r>
            <w:r>
              <w:rPr>
                <w:rFonts w:hint="eastAsia" w:ascii="仿宋_GB2312" w:hAnsi="仿宋_GB2312" w:eastAsia="仿宋_GB2312" w:cs="仿宋_GB2312"/>
                <w:color w:val="auto"/>
                <w:spacing w:val="2"/>
                <w:sz w:val="24"/>
                <w:szCs w:val="24"/>
              </w:rPr>
              <w:t>安全生产法律</w:t>
            </w:r>
            <w:r>
              <w:rPr>
                <w:rFonts w:hint="eastAsia" w:ascii="仿宋_GB2312" w:hAnsi="仿宋_GB2312" w:eastAsia="仿宋_GB2312" w:cs="仿宋_GB2312"/>
                <w:color w:val="auto"/>
                <w:spacing w:val="-50"/>
                <w:sz w:val="24"/>
                <w:szCs w:val="24"/>
              </w:rPr>
              <w:t>、</w:t>
            </w:r>
            <w:r>
              <w:rPr>
                <w:rFonts w:hint="eastAsia" w:ascii="仿宋_GB2312" w:hAnsi="仿宋_GB2312" w:eastAsia="仿宋_GB2312" w:cs="仿宋_GB2312"/>
                <w:color w:val="auto"/>
                <w:spacing w:val="2"/>
                <w:sz w:val="24"/>
                <w:szCs w:val="24"/>
              </w:rPr>
              <w:t>法规</w:t>
            </w:r>
            <w:r>
              <w:rPr>
                <w:rFonts w:hint="eastAsia" w:ascii="仿宋_GB2312" w:hAnsi="仿宋_GB2312" w:eastAsia="仿宋_GB2312" w:cs="仿宋_GB2312"/>
                <w:color w:val="auto"/>
                <w:spacing w:val="-50"/>
                <w:sz w:val="24"/>
                <w:szCs w:val="24"/>
              </w:rPr>
              <w:t>、</w:t>
            </w:r>
            <w:r>
              <w:rPr>
                <w:rFonts w:hint="eastAsia" w:ascii="仿宋_GB2312" w:hAnsi="仿宋_GB2312" w:eastAsia="仿宋_GB2312" w:cs="仿宋_GB2312"/>
                <w:color w:val="auto"/>
                <w:spacing w:val="2"/>
                <w:sz w:val="24"/>
                <w:szCs w:val="24"/>
              </w:rPr>
              <w:t>标准、规章制度和操作规程、安全管理方法等培训；</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ind w:left="-2" w:leftChars="-10" w:hanging="19" w:hangingChars="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5.4.1.3.从业人员每年应接受再培训，再培训时间不得少于规定学时。</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5.4.2.1.特种作业人员应按有关规定参加安全培训教育，取得特种作业操作证，方可上岗作业；</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tabs>
                <w:tab w:val="left" w:pos="7317"/>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bCs/>
                <w:color w:val="auto"/>
                <w:sz w:val="24"/>
                <w:szCs w:val="24"/>
              </w:rPr>
              <w:t>无</w:t>
            </w:r>
            <w:r>
              <w:rPr>
                <w:rFonts w:hint="eastAsia" w:ascii="仿宋_GB2312" w:hAnsi="仿宋_GB2312" w:eastAsia="仿宋_GB2312" w:cs="仿宋_GB2312"/>
                <w:color w:val="auto"/>
                <w:sz w:val="24"/>
                <w:szCs w:val="24"/>
              </w:rPr>
              <w:t>管理台账，扣2分；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2.操作资格证未按期复审，1人次扣2分。</w:t>
            </w: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5.4.2.2.特种作业操作证定期复审。</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7317"/>
              </w:tabs>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nil"/>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5.5其他人员培训教育（10分）</w:t>
            </w: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5.5.1.1从业人员转岗、脱离岗位一年以上(含一年)者，应进行安全培训教育，经考核合格后，方可上岗。</w:t>
            </w:r>
          </w:p>
        </w:tc>
        <w:tc>
          <w:tcPr>
            <w:tcW w:w="4588" w:type="dxa"/>
            <w:gridSpan w:val="5"/>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未进行安全培训教育</w:t>
            </w:r>
            <w:r>
              <w:rPr>
                <w:rFonts w:hint="eastAsia" w:ascii="仿宋_GB2312" w:hAnsi="仿宋_GB2312" w:eastAsia="仿宋_GB2312" w:cs="仿宋_GB2312"/>
                <w:bCs/>
                <w:color w:val="auto"/>
                <w:sz w:val="24"/>
                <w:szCs w:val="24"/>
              </w:rPr>
              <w:t>，1人次扣2分。</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承包商教育记录不全；扣4分。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6</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pacing w:val="2"/>
                <w:sz w:val="24"/>
                <w:szCs w:val="24"/>
              </w:rPr>
              <w:t>5.5.2.1.对承包商的所有作业人员进行安全培训教育；</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1.未对承包商的所有人员进行相关安全培训教育，1人次扣2分；</w:t>
            </w:r>
          </w:p>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2培训教育内容不符合有关要求，扣2分。</w:t>
            </w: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2" w:leftChars="-10" w:hanging="19" w:hangingChars="8"/>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5.5.2.2.保存安全培训教育记录。</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5.6</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日常安全教育</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5.6.1.1.应明确训练项目、内容和要求；</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未按计划开展安全活动，缺1次扣1分。</w:t>
            </w:r>
          </w:p>
        </w:tc>
        <w:tc>
          <w:tcPr>
            <w:tcW w:w="2167" w:type="dxa"/>
            <w:gridSpan w:val="7"/>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未见安全活动计划及安全活动记录不规范；扣5分。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5</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5.6.1.2.按照月度安全活动计划开展安全活动。</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z w:val="24"/>
                <w:szCs w:val="24"/>
              </w:rPr>
              <w:t>5.6.2.1.</w:t>
            </w:r>
            <w:r>
              <w:rPr>
                <w:rFonts w:hint="eastAsia" w:ascii="仿宋_GB2312" w:hAnsi="仿宋_GB2312" w:eastAsia="仿宋_GB2312" w:cs="仿宋_GB2312"/>
                <w:color w:val="auto"/>
                <w:spacing w:val="2"/>
                <w:sz w:val="24"/>
                <w:szCs w:val="24"/>
              </w:rPr>
              <w:t>班组安全活动每月不少于2次；</w:t>
            </w:r>
          </w:p>
        </w:tc>
        <w:tc>
          <w:tcPr>
            <w:tcW w:w="4588"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1.班组安全活动频次、时间或内容不符合计划或规定要求，一项扣1分；</w:t>
            </w:r>
          </w:p>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2.加油站负责人、基层单位负责人及管理人员未按规定参加安全活动并签字，1人次扣1分。</w:t>
            </w: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67" w:type="dxa"/>
            <w:gridSpan w:val="3"/>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5.6.2.2.要有记录。</w:t>
            </w:r>
          </w:p>
        </w:tc>
        <w:tc>
          <w:tcPr>
            <w:tcW w:w="458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67"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ind w:left="57"/>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6、生产设施及工艺安全（100）  （评审得分：81分）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1638"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0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6.1</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生产</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设施</w:t>
            </w:r>
          </w:p>
          <w:p>
            <w:pPr>
              <w:tabs>
                <w:tab w:val="left" w:pos="372"/>
              </w:tabs>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（25）</w:t>
            </w: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6.1.1.1在城市建成区内不应建一级加油站。</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bCs/>
                <w:color w:val="auto"/>
                <w:kern w:val="0"/>
                <w:sz w:val="24"/>
                <w:szCs w:val="24"/>
              </w:rPr>
              <w:t>在城市建成区内的一级加油站，扣25分（</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p>
            <w:pPr>
              <w:tabs>
                <w:tab w:val="left" w:pos="372"/>
                <w:tab w:val="left" w:pos="3976"/>
              </w:tabs>
              <w:autoSpaceDE w:val="0"/>
              <w:autoSpaceDN w:val="0"/>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color w:val="auto"/>
                <w:kern w:val="0"/>
                <w:sz w:val="24"/>
                <w:szCs w:val="24"/>
                <w:lang w:val="zh-CN"/>
              </w:rPr>
              <w:t>在城市干道的交叉路口的油站，扣5分。</w:t>
            </w:r>
          </w:p>
        </w:tc>
        <w:tc>
          <w:tcPr>
            <w:tcW w:w="1638" w:type="dxa"/>
            <w:gridSpan w:val="2"/>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i w:val="0"/>
                <w:color w:val="auto"/>
                <w:kern w:val="0"/>
                <w:sz w:val="24"/>
                <w:szCs w:val="24"/>
                <w:u w:val="none"/>
                <w:lang w:val="en-US" w:eastAsia="zh-CN"/>
              </w:rPr>
              <w:t>25</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6.1.1.2城市建成区内的加油站，宜靠近城市道路，不宜选在城市干道的交叉路口附近。</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bCs/>
                <w:color w:val="auto"/>
                <w:kern w:val="0"/>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kern w:val="0"/>
                <w:sz w:val="24"/>
                <w:szCs w:val="24"/>
              </w:rPr>
              <w:t>6.1.2.1加油站油罐总罐容积和单罐容积，等级划分应符合GB50156-2002表3.0.3的规定（</w:t>
            </w:r>
            <w:r>
              <w:rPr>
                <w:rFonts w:hint="eastAsia" w:ascii="仿宋_GB2312" w:hAnsi="仿宋_GB2312" w:eastAsia="仿宋_GB2312" w:cs="仿宋_GB2312"/>
                <w:b/>
                <w:bCs/>
                <w:color w:val="auto"/>
                <w:kern w:val="0"/>
                <w:sz w:val="24"/>
                <w:szCs w:val="24"/>
              </w:rPr>
              <w:t>达标标准见附件1）</w:t>
            </w:r>
            <w:r>
              <w:rPr>
                <w:rFonts w:hint="eastAsia" w:ascii="仿宋_GB2312" w:hAnsi="仿宋_GB2312" w:eastAsia="仿宋_GB2312" w:cs="仿宋_GB2312"/>
                <w:bCs/>
                <w:color w:val="auto"/>
                <w:kern w:val="0"/>
                <w:sz w:val="24"/>
                <w:szCs w:val="24"/>
              </w:rPr>
              <w:t>。</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tabs>
                <w:tab w:val="left" w:pos="372"/>
              </w:tabs>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tabs>
                <w:tab w:val="left" w:pos="0"/>
                <w:tab w:val="left" w:pos="3976"/>
              </w:tabs>
              <w:autoSpaceDE w:val="0"/>
              <w:autoSpaceDN w:val="0"/>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6.1.3.1加油站的油罐、加油机和通气管管口与站外建构筑物的防火距离</w:t>
            </w:r>
            <w:r>
              <w:rPr>
                <w:rFonts w:hint="eastAsia" w:ascii="仿宋_GB2312" w:hAnsi="仿宋_GB2312" w:eastAsia="仿宋_GB2312" w:cs="仿宋_GB2312"/>
                <w:bCs/>
                <w:color w:val="auto"/>
                <w:sz w:val="24"/>
                <w:szCs w:val="24"/>
              </w:rPr>
              <w:t>不应小于</w:t>
            </w:r>
            <w:r>
              <w:rPr>
                <w:rFonts w:hint="eastAsia" w:ascii="仿宋_GB2312" w:hAnsi="仿宋_GB2312" w:eastAsia="仿宋_GB2312" w:cs="仿宋_GB2312"/>
                <w:color w:val="auto"/>
                <w:sz w:val="24"/>
                <w:szCs w:val="24"/>
              </w:rPr>
              <w:t>GB50156-2002</w:t>
            </w:r>
            <w:r>
              <w:rPr>
                <w:rFonts w:hint="eastAsia" w:ascii="仿宋_GB2312" w:hAnsi="仿宋_GB2312" w:eastAsia="仿宋_GB2312" w:cs="仿宋_GB2312"/>
                <w:bCs/>
                <w:color w:val="auto"/>
                <w:sz w:val="24"/>
                <w:szCs w:val="24"/>
              </w:rPr>
              <w:t>表4.0.4的规定（</w:t>
            </w:r>
            <w:r>
              <w:rPr>
                <w:rFonts w:hint="eastAsia" w:ascii="仿宋_GB2312" w:hAnsi="仿宋_GB2312" w:eastAsia="仿宋_GB2312" w:cs="仿宋_GB2312"/>
                <w:b/>
                <w:bCs/>
                <w:color w:val="auto"/>
                <w:sz w:val="24"/>
                <w:szCs w:val="24"/>
              </w:rPr>
              <w:t>达标标准见附件2</w:t>
            </w:r>
            <w:r>
              <w:rPr>
                <w:rFonts w:hint="eastAsia" w:ascii="仿宋_GB2312" w:hAnsi="仿宋_GB2312" w:eastAsia="仿宋_GB2312" w:cs="仿宋_GB2312"/>
                <w:bCs/>
                <w:color w:val="auto"/>
                <w:sz w:val="24"/>
                <w:szCs w:val="24"/>
              </w:rPr>
              <w:t>）。</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Cs/>
                <w:color w:val="auto"/>
                <w:sz w:val="24"/>
                <w:szCs w:val="24"/>
              </w:rPr>
              <w:t>6.1.4.1加油站的工艺设施与站外建、构筑物之间的距离小于或等于25m以及小于或等于表4.0.4至表4.0.7中的防火距离的1.5倍时，相邻一侧应设置高度不低于2.2m的非燃烧实体围墙。</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tabs>
                <w:tab w:val="left" w:pos="372"/>
              </w:tabs>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6.1.4.2．加油站的工艺设施与站外建、构筑物之间的距离大于表4.0.4至表4.0.7中的防火距离的1.5倍，且大于25m时，相邻一侧应设置隔离墙，隔离墙可为非实体围墙。</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6.1.5.1加油岛及汽车加油场地宜设罩棚，罩棚应采用非燃烧材料制作，其有效高度不应小于4.5m。罩棚边缘与加油机的平面距离不宜小于 2m。</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不符合规定扣3分。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6.1.6.1加油岛的设计宜符合下列规定：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①加油岛应高出停车场的地坪 0.15～0.2m。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②加油岛的宽度不应小于 1.2m。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③加油岛上的罩棚支柱距岛端部，不应小于 0.6m。</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不符合规定扣3分。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Cs/>
                <w:color w:val="auto"/>
                <w:sz w:val="24"/>
                <w:szCs w:val="24"/>
              </w:rPr>
              <w:t>6.1.7.1加油站的站内设施之间的防火距离不应小于</w:t>
            </w:r>
            <w:r>
              <w:rPr>
                <w:rFonts w:hint="eastAsia" w:ascii="仿宋_GB2312" w:hAnsi="仿宋_GB2312" w:eastAsia="仿宋_GB2312" w:cs="仿宋_GB2312"/>
                <w:color w:val="auto"/>
                <w:sz w:val="24"/>
                <w:szCs w:val="24"/>
              </w:rPr>
              <w:t>GB50156-2002</w:t>
            </w:r>
            <w:r>
              <w:rPr>
                <w:rFonts w:hint="eastAsia" w:ascii="仿宋_GB2312" w:hAnsi="仿宋_GB2312" w:eastAsia="仿宋_GB2312" w:cs="仿宋_GB2312"/>
                <w:bCs/>
                <w:color w:val="auto"/>
                <w:sz w:val="24"/>
                <w:szCs w:val="24"/>
              </w:rPr>
              <w:t>表5.0.8的规定（</w:t>
            </w:r>
            <w:r>
              <w:rPr>
                <w:rFonts w:hint="eastAsia" w:ascii="仿宋_GB2312" w:hAnsi="仿宋_GB2312" w:eastAsia="仿宋_GB2312" w:cs="仿宋_GB2312"/>
                <w:b/>
                <w:bCs/>
                <w:color w:val="auto"/>
                <w:sz w:val="24"/>
                <w:szCs w:val="24"/>
              </w:rPr>
              <w:t>达标标准见附件3</w:t>
            </w:r>
            <w:r>
              <w:rPr>
                <w:rFonts w:hint="eastAsia" w:ascii="仿宋_GB2312" w:hAnsi="仿宋_GB2312" w:eastAsia="仿宋_GB2312" w:cs="仿宋_GB2312"/>
                <w:bCs/>
                <w:color w:val="auto"/>
                <w:sz w:val="24"/>
                <w:szCs w:val="24"/>
              </w:rPr>
              <w:t>）。</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Cs/>
                <w:color w:val="auto"/>
                <w:kern w:val="0"/>
                <w:sz w:val="24"/>
                <w:szCs w:val="24"/>
              </w:rPr>
              <w:t>6.1.8.1.加油站的汽油罐和柴油罐（撬装式加油装置所配置的防火防爆油罐除外）应埋地设置，严禁设在室内或地下室内。且罐内最高液面应低于罐外４ｍ范围内地面的最低标高0.2ｍ。</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6.1.8.2.油罐顶部覆土厚度不应小于0.5ｍ。油罐周围应回填干净的沙子或细土，其厚度不应小于0.3ｍ。</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6.1.9.1油罐的人孔，应设操作井。当油罐设在行车道下面时，人孔操作井宜设在行车道以外。</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不符合规定扣3分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Cs/>
                <w:color w:val="auto"/>
                <w:sz w:val="24"/>
                <w:szCs w:val="24"/>
              </w:rPr>
              <w:t>6.1.10.1.加油机不得设在室内。</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6.1.10.2.加油枪宜采用自封式加油枪，流量不应大于 60L／min。</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6.1.10.3.加油站宜采用油罐装设潜油泵的一泵供多机（枪）的配套加油工艺。当采用自吸式加油机时，每台加油机应按加油品种单独设置进油管。</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 xml:space="preserve">6.1.11.1.加油站的固定工艺管道宜采用无缝钢管。埋地钢管的连接应采用焊接。在对钢管有严重腐蚀作用的土壤地段直埋管道时，可选用耐油、耐土壤腐蚀、导静电的复合管材。  </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油罐通气管的设置</w:t>
            </w: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），其他一项不符合扣2分。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企业现场检查及文件档案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6.1.11.2.油罐车卸油时用的卸油连通软管、油气回收连通软管，应采用导静电耐油软管。连通软管的公称直径不应小于50mm。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6.1.11.3.加油站内的工艺管道应埋地敷设，且不得穿过站房等建、构筑物。当油品管道与管沟、电缆沟和排水沟相交叉时，应采取相应的防渗漏措施。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6.1.11.4.与油罐相连通的进油管、通气管横管，以及油气回收管，均应坡向油罐，其坡度不应小于0.2%。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6.1.11.5.油品管道系统的设计压力不应小于0.6MPa。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6.1.11.6.埋地工艺管道外表面的防腐设计应符合国家现行标准《钢质管道及储罐腐蚀控制工程设计规范》SY 0007 的有关规定，并应采用不低于加强级的防腐绝缘保护层。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6.1.11.7.油罐通气管的设置，除应符合GB50156-2002 5.0.8 条的规定外.尚应符合下列规定：</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①汽油罐与柴油罐的通气管，应分开设置。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②管口应高出地面 4m 及以上。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③沿建筑物的墙(柱)向上敷设的通气管管口，应高出建筑物的顶面 1.5m 及以上。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④当采用卸油油气回收系统时，通气管管口与围墙的距离可适当减少，但不得小于2m。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⑤通气管的公称直径不应小于 50mm。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⑥通气管管口应安装阻火器。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0" w:hRule="atLeast"/>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6.1.11.8.当采用卸油油气回收系统和加油油气回收系统时，汽油通气管管口尚应安装机械呼吸阀。呼吸阀的工作压力宜按表6.2.14确定。</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6.1.12.1.</w:t>
            </w:r>
            <w:r>
              <w:rPr>
                <w:rFonts w:hint="eastAsia" w:ascii="仿宋_GB2312" w:hAnsi="仿宋_GB2312" w:eastAsia="仿宋_GB2312" w:cs="仿宋_GB2312"/>
                <w:color w:val="auto"/>
                <w:kern w:val="0"/>
                <w:sz w:val="24"/>
                <w:szCs w:val="24"/>
                <w:lang w:val="zh-CN"/>
              </w:rPr>
              <w:t xml:space="preserve"> 设置在罩棚下的照明灯应选用防护等级不低于IP44级的节能型照明灯具。</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内燃机的排烟管口不安装阻火器扣25分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），其他一项不符合要求扣2分。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zh-CN"/>
              </w:rPr>
              <w:t>6.1.12.2加油加油站设置小型内燃发电机，内燃机的排烟管口应安装阻火器。</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 xml:space="preserve">6.1.13.1加油站内的站房及其他附属建筑物的耐火等级不应低于二级。 当罩棚顶棚的承重构件为钢结构时，其耐火极限可为 0.25h.顶棚其他部分不得采用燃烧体建造。 </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6.1.13.2.加油站内，爆炸危险区域内的房间的地坪应采用不发火花地面。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6.1.13.3.站房可由办公室、值班室、营业室、控制室和小商品（限于食品、饮料、润滑油、汽车配件等）便利店等组成。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6.1.13.4.加油站内不得建经营性的住宿、餐饮和娱乐等设施。</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6.2.1.1建立安全设施管理制度和安全设施台账。</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未建立安全设施台账，扣5分；台账内容不符合要求，一项扣1分。</w:t>
            </w:r>
          </w:p>
        </w:tc>
        <w:tc>
          <w:tcPr>
            <w:tcW w:w="1638" w:type="dxa"/>
            <w:gridSpan w:val="2"/>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安全设施台账不全；扣5分。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6.2.2.1.油罐必须进行防雷接地，接地点不应少于两处。</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有一项不符合规定扣25分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6.2.2.2.加油站的防雷接地、防静电接地、电气设备的工作接地、保护接地及信息系统的接地等，宜共用接地装置，其接地电阻不应大于 4Ω 。当各自单独设置接地装置时，油罐的防雷接地装置的接地电阻、配线电缆金属外皮两端和保护钢管两端的接地装置的接地电阻不应大于 10Ω ；保护接地电阻不应大于 4Ω；地上油品管道始、未端和分支处的接地装置的接地电阻不应大于 30Ω 。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6.2.2.3.埋地油罐应与露出地面的工艺管道道地地相互做电气连接并接地。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6.2.2.4.当加油站的站房和罩棚需要防直击雷时，应采用避雷带（网）保护。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6.2.2.5.加油站信息系统应采用铠装电缆或导线穿钢管配线。 配线电缆金属外皮两端、保护钢管两端均应接地。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6.2.2.6.加油站信息系统的配电线路首、未端与电子器件连接时，应装设与电子器件耐压水平相适应的过电压（电涌）保护器。</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6.2.2.7.380／220V 供配电系统宜采用 TN 一 8 系统，供电系统的电缆金属外皮或电缆金属保护管两端均应接地，在供配电系统的电源端应安装与设备耐压水平相适应的过电压（电涌）保护器。</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 xml:space="preserve">6.2.3.1. 地上或管沟敷设的油品管道的始、未端和分支处应设防静电和防感应雷的联合接地装置，其接地电阻不应大于 30Ω 。 </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有一项不符合规定扣25分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6.2.3.2. 加油站的汽油罐车卸车场地，应设罐车卸车时用的防静电接地装置，并宜设置能检测跨接线及监视接地装置状态的静电接地仪。</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6.2.3.3. 在爆炸危险区域内的油品管道上的法兰、胶管两端等连接处应用金属线跨接。当法兰的连接螺栓不少于 5 根时，在非腐蚀环境下，可不跨接。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6.2.3.4. 防静电接地装置的接地电阻不应大于 100Ω 。</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rPr>
              <w:t>6.2.3.</w:t>
            </w:r>
            <w:r>
              <w:rPr>
                <w:rFonts w:hint="eastAsia" w:ascii="仿宋_GB2312" w:hAnsi="仿宋_GB2312" w:eastAsia="仿宋_GB2312" w:cs="仿宋_GB2312"/>
                <w:color w:val="auto"/>
                <w:kern w:val="0"/>
                <w:sz w:val="24"/>
                <w:szCs w:val="24"/>
                <w:lang w:val="zh-CN"/>
              </w:rPr>
              <w:t>5.加油枪胶管上的金属屏蔽线和机体之间应静电连接。</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6.2.4.1加油站的灭火器材配置应符合下列规定：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(1）每 2 台加油机应设置不少于 1 只 4kg 手提式干粉灭火器和 1 只 6L 泡沫灭火器；加油机不足 2 台按 2 台计算。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(2）地上储罐应设 35Kg 推车式干粉灭火器 2 个。当两种介质储罐之间的距商超过15m 时，应分别设置。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(3）地下储罐设 35kg 推车式干粉灭火器 1 个。当两种介质储罐之间的距离超过15m 时，应分别设置。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(4）一、二级加油站应配置灭火毯5块，沙子 2m</w:t>
            </w:r>
            <w:r>
              <w:rPr>
                <w:rFonts w:hint="eastAsia" w:ascii="仿宋_GB2312" w:hAnsi="仿宋_GB2312" w:eastAsia="仿宋_GB2312" w:cs="仿宋_GB2312"/>
                <w:color w:val="auto"/>
                <w:sz w:val="24"/>
                <w:szCs w:val="24"/>
                <w:vertAlign w:val="superscript"/>
              </w:rPr>
              <w:t>3</w:t>
            </w:r>
            <w:r>
              <w:rPr>
                <w:rFonts w:hint="eastAsia" w:ascii="仿宋_GB2312" w:hAnsi="仿宋_GB2312" w:eastAsia="仿宋_GB2312" w:cs="仿宋_GB2312"/>
                <w:color w:val="auto"/>
                <w:sz w:val="24"/>
                <w:szCs w:val="24"/>
              </w:rPr>
              <w:t>；三级加油站应配置灭火毯2块，沙子 2m</w:t>
            </w:r>
            <w:r>
              <w:rPr>
                <w:rFonts w:hint="eastAsia" w:ascii="仿宋_GB2312" w:hAnsi="仿宋_GB2312" w:eastAsia="仿宋_GB2312" w:cs="仿宋_GB2312"/>
                <w:color w:val="auto"/>
                <w:sz w:val="24"/>
                <w:szCs w:val="24"/>
                <w:vertAlign w:val="superscript"/>
              </w:rPr>
              <w:t>3</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(5）其余建筑的灭火器材配置应符合现行国家标准《建筑灭火器配置设计计规范》GBJ140 的规定。</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不符合规定扣25分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6.2.5.1加油站的排水应符合下列规定：</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(1）站内地面雨水可散流排出站外。当雨水有明沟排到站外时，在排出围墙之前，应设置水封装置。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(2）加油站排出建筑物或围墙的污水，在建筑物墙外或围墙内应分别设水封井。水封井的水封高度不应小于 0.25m；水封井应设沉泥段，沉泥段高度不应小于 0.25m。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(3）清洗油罐的污水应集中收集处理，不应直接进入排水管道。</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(4）排出站外的污水应符合国家有关的污水排放标准。</w:t>
            </w:r>
          </w:p>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(5）加油站不应采用暗沟排水。</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一项不符合扣5分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6.2.6.1油罐车卸油必须采用密闭卸油方式。 </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bCs/>
                <w:color w:val="auto"/>
                <w:kern w:val="0"/>
                <w:sz w:val="24"/>
                <w:szCs w:val="24"/>
              </w:rPr>
              <w:t>1、2项一项不符合</w:t>
            </w:r>
            <w:r>
              <w:rPr>
                <w:rFonts w:hint="eastAsia" w:ascii="仿宋_GB2312" w:hAnsi="仿宋_GB2312" w:eastAsia="仿宋_GB2312" w:cs="仿宋_GB2312"/>
                <w:color w:val="auto"/>
                <w:kern w:val="0"/>
                <w:sz w:val="24"/>
                <w:szCs w:val="24"/>
                <w:lang w:val="zh-CN"/>
              </w:rPr>
              <w:t>扣25分</w:t>
            </w:r>
            <w:r>
              <w:rPr>
                <w:rFonts w:hint="eastAsia" w:ascii="仿宋_GB2312" w:hAnsi="仿宋_GB2312" w:eastAsia="仿宋_GB2312" w:cs="仿宋_GB2312"/>
                <w:bCs/>
                <w:color w:val="auto"/>
                <w:kern w:val="0"/>
                <w:sz w:val="24"/>
                <w:szCs w:val="24"/>
              </w:rPr>
              <w:t>（</w:t>
            </w:r>
            <w:r>
              <w:rPr>
                <w:rFonts w:hint="eastAsia" w:ascii="仿宋_GB2312" w:hAnsi="仿宋_GB2312" w:eastAsia="仿宋_GB2312" w:cs="仿宋_GB2312"/>
                <w:b/>
                <w:color w:val="auto"/>
                <w:kern w:val="0"/>
                <w:sz w:val="24"/>
                <w:szCs w:val="24"/>
                <w:lang w:val="zh-CN"/>
              </w:rPr>
              <w:t>B级要素否决项</w:t>
            </w:r>
            <w:r>
              <w:rPr>
                <w:rFonts w:hint="eastAsia" w:ascii="仿宋_GB2312" w:hAnsi="仿宋_GB2312" w:eastAsia="仿宋_GB2312" w:cs="仿宋_GB2312"/>
                <w:color w:val="auto"/>
                <w:kern w:val="0"/>
                <w:sz w:val="24"/>
                <w:szCs w:val="24"/>
                <w:lang w:val="zh-CN"/>
              </w:rPr>
              <w:t>），3、4项一项不符合扣3分。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6.2.6.2油罐车卸油时用的卸油连通软管、油气回收连通软管，应采用导静电耐油软管。连通软管的公称直径不应小于50mm。</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bCs/>
                <w:color w:val="auto"/>
                <w:kern w:val="0"/>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nil"/>
              <w:left w:val="single" w:color="auto" w:sz="4" w:space="0"/>
              <w:bottom w:val="nil"/>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6.2.6.3汽油罐车卸油宜采用卸油油气回收系统。 采用卸油油气回收系统时，应符合下列规定：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①油罐车上的油气回收管道接口，应装设手动阀门。</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②密闭卸油管道的各操作接口处，应设快速接头及闷盖。宜在站内油气回收管道接口前设手动阀门。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③加油站内的卸油管道接口、油气回收管道接口宜设在地面以上。 </w:t>
            </w:r>
          </w:p>
          <w:p>
            <w:pPr>
              <w:spacing w:beforeLines="20" w:afterLines="20"/>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④油罐应设带有高液位报警功能的液位计。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6.2.6.4</w:t>
            </w:r>
            <w:r>
              <w:rPr>
                <w:rFonts w:hint="eastAsia" w:ascii="仿宋_GB2312" w:hAnsi="仿宋_GB2312" w:eastAsia="仿宋_GB2312" w:cs="仿宋_GB2312"/>
                <w:color w:val="auto"/>
                <w:kern w:val="0"/>
                <w:sz w:val="24"/>
                <w:szCs w:val="24"/>
              </w:rPr>
              <w:t>加油站的油罐宜设带有高液位报警功能的液位计。</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bCs/>
                <w:color w:val="auto"/>
                <w:kern w:val="0"/>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lang w:val="zh-CN"/>
              </w:rPr>
              <w:t>6.3工艺安全（</w:t>
            </w:r>
            <w:r>
              <w:rPr>
                <w:rFonts w:hint="eastAsia" w:ascii="仿宋_GB2312" w:hAnsi="仿宋_GB2312" w:eastAsia="仿宋_GB2312" w:cs="仿宋_GB2312"/>
                <w:color w:val="auto"/>
                <w:kern w:val="0"/>
                <w:sz w:val="24"/>
                <w:szCs w:val="24"/>
                <w:lang w:val="zh-CN"/>
              </w:rPr>
              <w:t>25）</w:t>
            </w: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6.3.1.1油罐车应停放于卸油专用区熄火并拉上手剎车、于车轮处放置轮挡；并使车头向外，以利紧急事故发生时，可迅速驶离。</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一项不符合扣2分。</w:t>
            </w:r>
          </w:p>
        </w:tc>
        <w:tc>
          <w:tcPr>
            <w:tcW w:w="1638" w:type="dxa"/>
            <w:gridSpan w:val="2"/>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卸油规程中未见“油罐车进站后，卸油人员应立即检查油罐车的安全设施是否齐全有效，油罐车的排气管应安装防火罩”；规程中未见“客车进站加油时不得载有乘客”；扣4分。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21</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6.3.1.2 向地下罐注油时，与该罐连接的给油设备应停止使用。卸油前应检查油罐的存油量，以防灌油时溢油。卸油作业中，严禁用量油尺计量油罐。</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6.3.1.3卸油作业中，必须有专人在现场监视，并禁止车辆及非工作人员进入卸油区。检查确认油罐计量孔密闭良好。</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6.3.1.4.油罐车进站后，卸油人员应立即检查油罐车的安全设施是否齐全有效，油罐车的排气管应安装防火罩。检查合格后，引导油罐车进入卸油现场，应先接妥静电接地线夹头接线并确实接触。</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6.3.1.5 卸油作业中，必须有专人在现场监视，并禁止车辆及非工作人员进入卸油区。检查确认油罐计量孔密闭良好。</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6.3.1.6卸油时严格控制油的流速，在油面淹没进油管口200mm前，初始流速不应大于1m/s，正常卸油时流速控制在4.5m/s以内，以防产生静电。</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6.3.1.7在卸油过程中，严禁擦洗罐车物品、按喇叭、修车等，对器具要轻拿轻放，夜间照明须使用防爆灯具。卸油口未使用时应加锁。</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6.3.1.8卸油过程中，卸油人员和油罐车驾驶员不应离开作业现场，打雷时应停止卸油作业。</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6.3.2.1加油机运转时，电机和泵温度应保持正常，计量器和泵的轴封应无明显泄露，汽油加油流量不应大于60L/min。</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一项不符合扣2分。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6.3.2.2客车进站加油时不得载有乘客。</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6.3.2.3禁止使用绝缘性容器加注汽油、柴油等。</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6.3.2.4加油站上空有高强闪电或雷击频繁时，应停止加油作业，采取防护措施。</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6.3.3.1夜间量测油罐时应使用防爆型照明设备。</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一项不符合扣2分。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6.3.3.2停止使用与油罐相连的加油机。</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6.3.3.3卸油后，待稳油15min后方可计量。</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6.3.3.4进行油品采样、计量和测温时，不得猛拉快提，上提速度不得大于0.5m/s，下落速度不得大于1m/s。</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tabs>
                <w:tab w:val="left" w:pos="372"/>
                <w:tab w:val="left" w:pos="3976"/>
              </w:tabs>
              <w:autoSpaceDE w:val="0"/>
              <w:autoSpaceDN w:val="0"/>
              <w:spacing w:beforeLines="20" w:afterLines="20"/>
              <w:rPr>
                <w:rFonts w:hint="eastAsia" w:ascii="仿宋_GB2312" w:hAnsi="仿宋_GB2312" w:eastAsia="仿宋_GB2312" w:cs="仿宋_GB2312"/>
                <w:color w:val="auto"/>
                <w:kern w:val="0"/>
                <w:sz w:val="24"/>
                <w:szCs w:val="24"/>
                <w:lang w:val="zh-CN"/>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6.4</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检维修</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（15）</w:t>
            </w: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6.4.1.1严格执行检维修管理制度，实行日常检维修和定期检维修管理。</w:t>
            </w:r>
          </w:p>
        </w:tc>
        <w:tc>
          <w:tcPr>
            <w:tcW w:w="3750" w:type="dxa"/>
            <w:gridSpan w:val="7"/>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1.未明确检维修时机、频次和审批程序，一项不扣1分；</w:t>
            </w:r>
          </w:p>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w:t>
            </w:r>
            <w:r>
              <w:rPr>
                <w:rFonts w:hint="eastAsia" w:ascii="仿宋_GB2312" w:hAnsi="仿宋_GB2312" w:eastAsia="仿宋_GB2312" w:cs="仿宋_GB2312"/>
                <w:color w:val="auto"/>
                <w:kern w:val="0"/>
                <w:sz w:val="24"/>
                <w:szCs w:val="24"/>
              </w:rPr>
              <w:t>实行日常检维修和定期检维修管理</w:t>
            </w:r>
            <w:r>
              <w:rPr>
                <w:rFonts w:hint="eastAsia" w:ascii="仿宋_GB2312" w:hAnsi="仿宋_GB2312" w:eastAsia="仿宋_GB2312" w:cs="仿宋_GB2312"/>
                <w:color w:val="auto"/>
                <w:sz w:val="24"/>
                <w:szCs w:val="24"/>
              </w:rPr>
              <w:t>，扣2分。</w:t>
            </w:r>
          </w:p>
        </w:tc>
        <w:tc>
          <w:tcPr>
            <w:tcW w:w="1638" w:type="dxa"/>
            <w:gridSpan w:val="2"/>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i/>
                <w:color w:val="auto"/>
                <w:sz w:val="24"/>
                <w:szCs w:val="24"/>
              </w:rPr>
            </w:pPr>
            <w:r>
              <w:rPr>
                <w:rFonts w:hint="eastAsia" w:ascii="仿宋_GB2312" w:hAnsi="仿宋_GB2312" w:eastAsia="仿宋_GB2312" w:cs="仿宋_GB2312"/>
                <w:i w:val="0"/>
                <w:color w:val="auto"/>
                <w:kern w:val="0"/>
                <w:sz w:val="24"/>
                <w:szCs w:val="24"/>
                <w:u w:val="none"/>
                <w:lang w:val="en-US" w:eastAsia="zh-CN"/>
              </w:rPr>
              <w:t>日常检维修和定期检维修记录不规范；未见检修人员安全培训记录；未见安全管理人员对检维修现场检查记录；扣10分。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5</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6.4.2.1在进行检维修作业时，应执行下列程序：</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（1）检维修前：</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1）编制检维修方案；</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2）办理工艺、设备设施交付检维修手续；</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3）对检维修人员进行安全培训教育；</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4）办理各种作业许可证。</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（2）对检维修现场进</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行安全检查。</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sz w:val="24"/>
                <w:szCs w:val="24"/>
              </w:rPr>
              <w:t>维修后办理交付生产手续。</w:t>
            </w:r>
          </w:p>
        </w:tc>
        <w:tc>
          <w:tcPr>
            <w:tcW w:w="3750" w:type="dxa"/>
            <w:gridSpan w:val="7"/>
            <w:tcBorders>
              <w:top w:val="single" w:color="auto" w:sz="4" w:space="0"/>
              <w:left w:val="single" w:color="auto" w:sz="4" w:space="0"/>
              <w:bottom w:val="single" w:color="auto" w:sz="4" w:space="0"/>
              <w:right w:val="single" w:color="auto" w:sz="4" w:space="0"/>
            </w:tcBorders>
            <w:vAlign w:val="top"/>
          </w:tcPr>
          <w:p>
            <w:pPr>
              <w:spacing w:beforeLines="20" w:afterLines="20"/>
              <w:ind w:left="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1.未制定检维修方案，扣15分（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2.未办理检维修前工艺、设备设施交付检维修或检维修后检维修交付生产手续，扣15分（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1.未对检修人员进行安全培训教育，1人次扣1分；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2.检维修相应作业票证未办理扣2分。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3.安全生产管理人员未对检维修现场进行安全检查，扣2分。</w:t>
            </w: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i/>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i/>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6.5</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拆除和报废</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（10）</w:t>
            </w: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6.5.1.1.拆除作业前，拆除作业负责人应与需拆除设施的主管部门和使用单位共同到现场进行作业前交底；</w:t>
            </w:r>
          </w:p>
        </w:tc>
        <w:tc>
          <w:tcPr>
            <w:tcW w:w="3750" w:type="dxa"/>
            <w:gridSpan w:val="7"/>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kern w:val="0"/>
                <w:sz w:val="24"/>
                <w:szCs w:val="24"/>
              </w:rPr>
              <w:t>拆除作业前，相关单位未共同到现场进行作业前交底，1次扣5分；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2.设施拆除和报废无审批手续，1次扣1分；</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3.未对拆除作业进行风险分析并制定风险控制措施，1次</w:t>
            </w:r>
            <w:r>
              <w:rPr>
                <w:rFonts w:hint="eastAsia" w:ascii="仿宋_GB2312" w:hAnsi="仿宋_GB2312" w:eastAsia="仿宋_GB2312" w:cs="仿宋_GB2312"/>
                <w:color w:val="auto"/>
                <w:sz w:val="24"/>
                <w:szCs w:val="24"/>
              </w:rPr>
              <w:t>扣1分；</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4.未制定拆除计划或方案，1次</w:t>
            </w:r>
            <w:r>
              <w:rPr>
                <w:rFonts w:hint="eastAsia" w:ascii="仿宋_GB2312" w:hAnsi="仿宋_GB2312" w:eastAsia="仿宋_GB2312" w:cs="仿宋_GB2312"/>
                <w:color w:val="auto"/>
                <w:sz w:val="24"/>
                <w:szCs w:val="24"/>
              </w:rPr>
              <w:t>扣2</w:t>
            </w:r>
            <w:r>
              <w:rPr>
                <w:rFonts w:hint="eastAsia" w:ascii="仿宋_GB2312" w:hAnsi="仿宋_GB2312" w:eastAsia="仿宋_GB2312" w:cs="仿宋_GB2312"/>
                <w:color w:val="auto"/>
                <w:kern w:val="0"/>
                <w:sz w:val="24"/>
                <w:szCs w:val="24"/>
              </w:rPr>
              <w:t>分；</w:t>
            </w:r>
          </w:p>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5.未办理设施拆除交接手续，1次扣1分；</w:t>
            </w:r>
          </w:p>
          <w:p>
            <w:pPr>
              <w:tabs>
                <w:tab w:val="left" w:pos="531"/>
              </w:tabs>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6.拆除作业现场，一项不符合扣1分。</w:t>
            </w:r>
          </w:p>
        </w:tc>
        <w:tc>
          <w:tcPr>
            <w:tcW w:w="1638" w:type="dxa"/>
            <w:gridSpan w:val="2"/>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10</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6.5.1.2.作业人员进行危险、有害因素识别；</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6.5.1.3.制定拆除计划或方案；</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kern w:val="0"/>
                <w:sz w:val="24"/>
                <w:szCs w:val="24"/>
                <w:lang w:val="zh-CN"/>
              </w:rPr>
            </w:pPr>
          </w:p>
        </w:tc>
        <w:tc>
          <w:tcPr>
            <w:tcW w:w="5851"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6.5.1.4.办理拆除设施交接手续。</w:t>
            </w:r>
          </w:p>
        </w:tc>
        <w:tc>
          <w:tcPr>
            <w:tcW w:w="3750" w:type="dxa"/>
            <w:gridSpan w:val="7"/>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638" w:type="dxa"/>
            <w:gridSpan w:val="2"/>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tabs>
                <w:tab w:val="left" w:pos="531"/>
              </w:tabs>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7、作业安全（100）  （评审得分：90分）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5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50"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3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0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作业许可</w:t>
            </w:r>
          </w:p>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（20分）</w:t>
            </w: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7.1.1.1.对动火作业、进入受限空间作业、破土作业、临时用电作业、高处作业、断路作业、吊装作业、设备检修作业和抽堵盲板作业等危险性作业实施作业许可管理,严格履行审批手续；</w:t>
            </w:r>
          </w:p>
        </w:tc>
        <w:tc>
          <w:tcPr>
            <w:tcW w:w="4650"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i/>
                <w:color w:val="auto"/>
                <w:sz w:val="24"/>
                <w:szCs w:val="24"/>
              </w:rPr>
            </w:pPr>
            <w:r>
              <w:rPr>
                <w:rFonts w:hint="eastAsia" w:ascii="仿宋_GB2312" w:hAnsi="仿宋_GB2312" w:eastAsia="仿宋_GB2312" w:cs="仿宋_GB2312"/>
                <w:color w:val="auto"/>
                <w:sz w:val="24"/>
                <w:szCs w:val="24"/>
              </w:rPr>
              <w:t>未实施危险性作业许可管理，扣100分（</w:t>
            </w:r>
            <w:r>
              <w:rPr>
                <w:rFonts w:hint="eastAsia" w:ascii="仿宋_GB2312" w:hAnsi="仿宋_GB2312" w:eastAsia="仿宋_GB2312" w:cs="仿宋_GB2312"/>
                <w:b/>
                <w:color w:val="auto"/>
                <w:sz w:val="24"/>
                <w:szCs w:val="24"/>
              </w:rPr>
              <w:t>A级要素否决项</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1.作业许可审批手续不符合要求，1次扣2分；</w:t>
            </w:r>
          </w:p>
          <w:p>
            <w:pPr>
              <w:widowControl/>
              <w:spacing w:beforeLines="20" w:afterLines="20"/>
              <w:ind w:left="-54" w:leftChars="-26" w:firstLine="52" w:firstLineChars="22"/>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2.作业许可证中危险有害因素与安全措施等内容不符合要求，1次扣2分。</w:t>
            </w:r>
          </w:p>
        </w:tc>
        <w:tc>
          <w:tcPr>
            <w:tcW w:w="213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部分作业许可证审批签字不全；扣4分。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i w:val="0"/>
                <w:color w:val="auto"/>
                <w:kern w:val="0"/>
                <w:sz w:val="24"/>
                <w:szCs w:val="24"/>
                <w:u w:val="none"/>
                <w:lang w:val="en-US" w:eastAsia="zh-CN"/>
              </w:rPr>
              <w:t>16</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7.1.1.2.作业许可证中有危险、有害因素识别和安全措施内容。</w:t>
            </w:r>
          </w:p>
        </w:tc>
        <w:tc>
          <w:tcPr>
            <w:tcW w:w="4650"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警示标志</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（15分）</w:t>
            </w:r>
          </w:p>
        </w:tc>
        <w:tc>
          <w:tcPr>
            <w:tcW w:w="445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7.2.1.1罐区、装卸区、危险化学品输送管道等危险场所的醒目位置设置符合GB2894规定的安全标志。</w:t>
            </w:r>
          </w:p>
        </w:tc>
        <w:tc>
          <w:tcPr>
            <w:tcW w:w="4650"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未设置安全标志或安全标志使用不符合要求。</w:t>
            </w:r>
          </w:p>
        </w:tc>
        <w:tc>
          <w:tcPr>
            <w:tcW w:w="2138" w:type="dxa"/>
            <w:gridSpan w:val="5"/>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15</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7.3</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作业环节（40分）</w:t>
            </w:r>
          </w:p>
        </w:tc>
        <w:tc>
          <w:tcPr>
            <w:tcW w:w="445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7.3.1.1危险作业现场</w:t>
            </w:r>
            <w:r>
              <w:rPr>
                <w:rFonts w:hint="eastAsia" w:ascii="仿宋_GB2312" w:hAnsi="仿宋_GB2312" w:eastAsia="仿宋_GB2312" w:cs="仿宋_GB2312"/>
                <w:color w:val="auto"/>
                <w:sz w:val="24"/>
                <w:szCs w:val="24"/>
              </w:rPr>
              <w:t>配备相应安全防护用品（具）及消防设施与器材。</w:t>
            </w:r>
          </w:p>
        </w:tc>
        <w:tc>
          <w:tcPr>
            <w:tcW w:w="4650"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i/>
                <w:color w:val="auto"/>
                <w:sz w:val="24"/>
                <w:szCs w:val="24"/>
              </w:rPr>
            </w:pPr>
            <w:r>
              <w:rPr>
                <w:rFonts w:hint="eastAsia" w:ascii="仿宋_GB2312" w:hAnsi="仿宋_GB2312" w:eastAsia="仿宋_GB2312" w:cs="仿宋_GB2312"/>
                <w:bCs/>
                <w:color w:val="auto"/>
                <w:sz w:val="24"/>
                <w:szCs w:val="24"/>
              </w:rPr>
              <w:t>作业现场</w:t>
            </w:r>
            <w:r>
              <w:rPr>
                <w:rFonts w:hint="eastAsia" w:ascii="仿宋_GB2312" w:hAnsi="仿宋_GB2312" w:eastAsia="仿宋_GB2312" w:cs="仿宋_GB2312"/>
                <w:color w:val="auto"/>
                <w:sz w:val="24"/>
                <w:szCs w:val="24"/>
              </w:rPr>
              <w:t>安全防护用品（具）及消防设施与器材</w:t>
            </w:r>
            <w:r>
              <w:rPr>
                <w:rFonts w:hint="eastAsia" w:ascii="仿宋_GB2312" w:hAnsi="仿宋_GB2312" w:eastAsia="仿宋_GB2312" w:cs="仿宋_GB2312"/>
                <w:bCs/>
                <w:color w:val="auto"/>
                <w:sz w:val="24"/>
                <w:szCs w:val="24"/>
              </w:rPr>
              <w:t>配备不符合要求</w:t>
            </w:r>
            <w:r>
              <w:rPr>
                <w:rFonts w:hint="eastAsia" w:ascii="仿宋_GB2312" w:hAnsi="仿宋_GB2312" w:eastAsia="仿宋_GB2312" w:cs="仿宋_GB2312"/>
                <w:color w:val="auto"/>
                <w:sz w:val="24"/>
                <w:szCs w:val="24"/>
              </w:rPr>
              <w:t>，一处扣1分</w:t>
            </w:r>
            <w:r>
              <w:rPr>
                <w:rFonts w:hint="eastAsia" w:ascii="仿宋_GB2312" w:hAnsi="仿宋_GB2312" w:eastAsia="仿宋_GB2312" w:cs="仿宋_GB2312"/>
                <w:bCs/>
                <w:color w:val="auto"/>
                <w:sz w:val="24"/>
                <w:szCs w:val="24"/>
              </w:rPr>
              <w:t>。</w:t>
            </w:r>
          </w:p>
        </w:tc>
        <w:tc>
          <w:tcPr>
            <w:tcW w:w="213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40</w:t>
            </w: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7.3.2.1在进行危险性作业时应持相应许可证进行作业。</w:t>
            </w:r>
          </w:p>
        </w:tc>
        <w:tc>
          <w:tcPr>
            <w:tcW w:w="4650"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未持相应作业许可证进行危险性作业，扣40分（</w:t>
            </w:r>
            <w:r>
              <w:rPr>
                <w:rFonts w:hint="eastAsia" w:ascii="仿宋_GB2312" w:hAnsi="仿宋_GB2312" w:eastAsia="仿宋_GB2312" w:cs="仿宋_GB2312"/>
                <w:b/>
                <w:bCs/>
                <w:color w:val="auto"/>
                <w:sz w:val="24"/>
                <w:szCs w:val="24"/>
              </w:rPr>
              <w:t>B级要素否决项</w:t>
            </w:r>
            <w:r>
              <w:rPr>
                <w:rFonts w:hint="eastAsia" w:ascii="仿宋_GB2312" w:hAnsi="仿宋_GB2312" w:eastAsia="仿宋_GB2312" w:cs="仿宋_GB2312"/>
                <w:bCs/>
                <w:color w:val="auto"/>
                <w:sz w:val="24"/>
                <w:szCs w:val="24"/>
              </w:rPr>
              <w:t>）。</w:t>
            </w:r>
          </w:p>
        </w:tc>
        <w:tc>
          <w:tcPr>
            <w:tcW w:w="213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445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rPr>
                <w:rStyle w:val="6"/>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7.3.3.1作业活动监护人员持相应作业许可证进行现场监护，不得离开监护岗位。</w:t>
            </w:r>
          </w:p>
        </w:tc>
        <w:tc>
          <w:tcPr>
            <w:tcW w:w="4650"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1.监护人员未持有相应作业许可证监护，1人次扣1分；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2.监护人员擅离监护岗位，1人次扣2分。</w:t>
            </w:r>
          </w:p>
        </w:tc>
        <w:tc>
          <w:tcPr>
            <w:tcW w:w="213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承包商</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（25分）</w:t>
            </w: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7.4.1.1.选择、使用合格的承包商；</w:t>
            </w:r>
          </w:p>
        </w:tc>
        <w:tc>
          <w:tcPr>
            <w:tcW w:w="4650"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1.未与承包商签订安全协议，扣3分；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2.未进行现场安全检查，一次扣1分。</w:t>
            </w:r>
          </w:p>
        </w:tc>
        <w:tc>
          <w:tcPr>
            <w:tcW w:w="213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未见作业现场的安全检查记录；扣6分。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19</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7.4.1.2.与选用的承包商签订安全协议；</w:t>
            </w:r>
          </w:p>
        </w:tc>
        <w:tc>
          <w:tcPr>
            <w:tcW w:w="4650"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50" w:type="dxa"/>
            <w:gridSpan w:val="2"/>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51" w:type="dxa"/>
            <w:gridSpan w:val="5"/>
            <w:tcBorders>
              <w:top w:val="single" w:color="auto" w:sz="4" w:space="0"/>
              <w:left w:val="single" w:color="auto" w:sz="4" w:space="0"/>
              <w:bottom w:val="single" w:color="auto" w:sz="4" w:space="0"/>
              <w:right w:val="single" w:color="auto" w:sz="4" w:space="0"/>
            </w:tcBorders>
            <w:vAlign w:val="top"/>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7.1.4.3.对作业过程进行监督检查。</w:t>
            </w:r>
          </w:p>
        </w:tc>
        <w:tc>
          <w:tcPr>
            <w:tcW w:w="4650"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5" w:type="dxa"/>
            <w:gridSpan w:val="31"/>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8、职业健康（100）  （评审得分：76分）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6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34" w:type="dxa"/>
            <w:gridSpan w:val="8"/>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37"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00"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93"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8.1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职业危害项目申报（25分）</w:t>
            </w: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z w:val="24"/>
                <w:szCs w:val="24"/>
              </w:rPr>
              <w:t>8.1.1.1.识别职业危害因素；</w:t>
            </w:r>
          </w:p>
        </w:tc>
        <w:tc>
          <w:tcPr>
            <w:tcW w:w="4634" w:type="dxa"/>
            <w:gridSpan w:val="8"/>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1.未识别职业危害因素，扣15分；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2.未申报职业病危害因素，扣10分。</w:t>
            </w:r>
          </w:p>
        </w:tc>
        <w:tc>
          <w:tcPr>
            <w:tcW w:w="2137"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未见申报职业危害因素回执；扣10分。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15</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8.1.1.2.及时、如实向当地安全监督管理部门申报职业危害因素，接受其监督。</w:t>
            </w:r>
          </w:p>
        </w:tc>
        <w:tc>
          <w:tcPr>
            <w:tcW w:w="463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7"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8.2</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作业场所职业危害管理</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（50分）</w:t>
            </w: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8.2.1.1建立从业人员健康监护档案。</w:t>
            </w:r>
          </w:p>
        </w:tc>
        <w:tc>
          <w:tcPr>
            <w:tcW w:w="4634" w:type="dxa"/>
            <w:gridSpan w:val="8"/>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1.未建立职业卫生档案，扣5分；档案内容不符合要求，一项扣1分；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2.未建立从业人员健康监护档案扣10分；每缺一人扣1分。</w:t>
            </w:r>
          </w:p>
        </w:tc>
        <w:tc>
          <w:tcPr>
            <w:tcW w:w="2137"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职业卫生档案建立不规范；从业人员健康监护档案记录不全；扣14分。</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36</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8.2.2.1.不得安排上岗前未经职业健康检查的从业人员从事接触职业病危害的作业；</w:t>
            </w:r>
          </w:p>
        </w:tc>
        <w:tc>
          <w:tcPr>
            <w:tcW w:w="4634" w:type="dxa"/>
            <w:gridSpan w:val="8"/>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未对从事接触职业病危害作业的人员进行上岗前、在岗期间及离岗时职业健康检查，1人次扣2分；</w:t>
            </w:r>
          </w:p>
        </w:tc>
        <w:tc>
          <w:tcPr>
            <w:tcW w:w="2137"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8.2.2.2.按规定对从事接触职业病危害作业的人员进行在岗期间、离岗时职业健康检查。</w:t>
            </w:r>
          </w:p>
        </w:tc>
        <w:tc>
          <w:tcPr>
            <w:tcW w:w="463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7"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restart"/>
            <w:tcBorders>
              <w:top w:val="nil"/>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8.3</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劳动防护用品（25分）</w:t>
            </w: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8.3.1.1.为从业人员提供符合国家标准或行业标准的个体防护用品和器具；</w:t>
            </w:r>
          </w:p>
        </w:tc>
        <w:tc>
          <w:tcPr>
            <w:tcW w:w="4634" w:type="dxa"/>
            <w:gridSpan w:val="8"/>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1.未按规定为从业人员配备个体防护用品和器具，一项不符合扣2分；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2.从业人员在生产现场未佩戴、使用个体防护用品，1人次扣2分。</w:t>
            </w:r>
          </w:p>
        </w:tc>
        <w:tc>
          <w:tcPr>
            <w:tcW w:w="2137"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00"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25</w:t>
            </w:r>
          </w:p>
        </w:tc>
        <w:tc>
          <w:tcPr>
            <w:tcW w:w="1876" w:type="dxa"/>
            <w:gridSpan w:val="5"/>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885" w:type="dxa"/>
            <w:gridSpan w:val="4"/>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p>
        </w:tc>
        <w:tc>
          <w:tcPr>
            <w:tcW w:w="4416"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8.3.1.2.监督、教育从业人员正确佩戴、使用个体防护用品和器具。</w:t>
            </w:r>
          </w:p>
        </w:tc>
        <w:tc>
          <w:tcPr>
            <w:tcW w:w="4634" w:type="dxa"/>
            <w:gridSpan w:val="8"/>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37"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00"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76"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jc w:val="center"/>
        </w:trPr>
        <w:tc>
          <w:tcPr>
            <w:tcW w:w="14548" w:type="dxa"/>
            <w:gridSpan w:val="3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9、危险化学品管理（100）  （评审得分：80分）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w:t>
            </w:r>
          </w:p>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要素</w:t>
            </w:r>
          </w:p>
        </w:tc>
        <w:tc>
          <w:tcPr>
            <w:tcW w:w="4383"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88"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16"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26"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9.1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危险化学品档案（30分）</w:t>
            </w:r>
          </w:p>
        </w:tc>
        <w:tc>
          <w:tcPr>
            <w:tcW w:w="4383" w:type="dxa"/>
            <w:tcBorders>
              <w:top w:val="single" w:color="auto" w:sz="4" w:space="0"/>
              <w:left w:val="single" w:color="auto" w:sz="4" w:space="0"/>
              <w:bottom w:val="single" w:color="auto" w:sz="4" w:space="0"/>
              <w:right w:val="single" w:color="auto" w:sz="4" w:space="0"/>
            </w:tcBorders>
            <w:vAlign w:val="top"/>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9.1.1.1建立危险化学品档案。</w:t>
            </w:r>
          </w:p>
        </w:tc>
        <w:tc>
          <w:tcPr>
            <w:tcW w:w="4688"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1.每漏1种扣5分；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2.档案内容，一项不符合</w:t>
            </w:r>
            <w:r>
              <w:rPr>
                <w:rFonts w:hint="eastAsia" w:ascii="仿宋_GB2312" w:hAnsi="仿宋_GB2312" w:eastAsia="仿宋_GB2312" w:cs="仿宋_GB2312"/>
                <w:color w:val="auto"/>
                <w:sz w:val="24"/>
                <w:szCs w:val="24"/>
              </w:rPr>
              <w:t>扣5分。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未建立危险</w:t>
            </w:r>
            <w:r>
              <w:rPr>
                <w:rFonts w:hint="eastAsia" w:ascii="仿宋_GB2312" w:hAnsi="仿宋_GB2312" w:eastAsia="仿宋_GB2312" w:cs="仿宋_GB2312"/>
                <w:color w:val="auto"/>
                <w:sz w:val="24"/>
                <w:szCs w:val="24"/>
              </w:rPr>
              <w:t>化学品档案扣30分(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16" w:type="dxa"/>
            <w:gridSpan w:val="5"/>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安全技术说明书未按《危化化学品目录》（2015）更新；扣5分。</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25</w:t>
            </w:r>
          </w:p>
        </w:tc>
        <w:tc>
          <w:tcPr>
            <w:tcW w:w="1826"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9.2</w:t>
            </w:r>
          </w:p>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化学品安全技术说明书和安全标签（40分）</w:t>
            </w:r>
          </w:p>
        </w:tc>
        <w:tc>
          <w:tcPr>
            <w:tcW w:w="4383" w:type="dxa"/>
            <w:tcBorders>
              <w:top w:val="single" w:color="auto" w:sz="4" w:space="0"/>
              <w:left w:val="single" w:color="auto" w:sz="4" w:space="0"/>
              <w:bottom w:val="single" w:color="auto" w:sz="4" w:space="0"/>
              <w:right w:val="single" w:color="auto" w:sz="4" w:space="0"/>
            </w:tcBorders>
            <w:vAlign w:val="top"/>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9.2.1.1采购危险化学品时，应主动向销售单位索取“一</w:t>
            </w:r>
            <w:r>
              <w:rPr>
                <w:rFonts w:hint="eastAsia" w:ascii="仿宋_GB2312" w:hAnsi="仿宋_GB2312" w:eastAsia="仿宋_GB2312" w:cs="仿宋_GB2312"/>
                <w:color w:val="auto"/>
                <w:kern w:val="0"/>
                <w:sz w:val="24"/>
                <w:szCs w:val="24"/>
              </w:rPr>
              <w:t>书一签”。</w:t>
            </w:r>
          </w:p>
        </w:tc>
        <w:tc>
          <w:tcPr>
            <w:tcW w:w="4688"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采购的危险化学品无“一书一签”，扣40分(</w:t>
            </w:r>
            <w:r>
              <w:rPr>
                <w:rFonts w:hint="eastAsia" w:ascii="仿宋_GB2312" w:hAnsi="仿宋_GB2312" w:eastAsia="仿宋_GB2312" w:cs="仿宋_GB2312"/>
                <w:b/>
                <w:color w:val="auto"/>
                <w:sz w:val="24"/>
                <w:szCs w:val="24"/>
              </w:rPr>
              <w:t>B级要素否决项</w:t>
            </w:r>
            <w:r>
              <w:rPr>
                <w:rFonts w:hint="eastAsia" w:ascii="仿宋_GB2312" w:hAnsi="仿宋_GB2312" w:eastAsia="仿宋_GB2312" w:cs="仿宋_GB2312"/>
                <w:color w:val="auto"/>
                <w:sz w:val="24"/>
                <w:szCs w:val="24"/>
              </w:rPr>
              <w:t>)。</w:t>
            </w:r>
          </w:p>
        </w:tc>
        <w:tc>
          <w:tcPr>
            <w:tcW w:w="2116" w:type="dxa"/>
            <w:gridSpan w:val="5"/>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危险化学品安全标签无应急电话等内容；扣5分。</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35</w:t>
            </w:r>
          </w:p>
        </w:tc>
        <w:tc>
          <w:tcPr>
            <w:tcW w:w="1826"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9.3</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危害告知（30分）</w:t>
            </w:r>
          </w:p>
        </w:tc>
        <w:tc>
          <w:tcPr>
            <w:tcW w:w="4383" w:type="dxa"/>
            <w:tcBorders>
              <w:top w:val="single" w:color="auto" w:sz="4" w:space="0"/>
              <w:left w:val="single" w:color="auto" w:sz="4" w:space="0"/>
              <w:bottom w:val="single" w:color="auto" w:sz="4" w:space="0"/>
              <w:right w:val="single" w:color="auto" w:sz="4" w:space="0"/>
            </w:tcBorders>
            <w:vAlign w:val="top"/>
          </w:tcPr>
          <w:p>
            <w:pPr>
              <w:spacing w:beforeLines="20" w:afterLines="20"/>
              <w:ind w:left="-2" w:leftChars="-10" w:hanging="19" w:hangingChars="8"/>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9.3.1.1对从业人员及相关方进行宣传、培训，使其了解，本岗位涉及危险化学品的危险特性、采取的预防及应急处理措施。</w:t>
            </w:r>
          </w:p>
        </w:tc>
        <w:tc>
          <w:tcPr>
            <w:tcW w:w="4688" w:type="dxa"/>
            <w:gridSpan w:val="1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劳动合同、宣传、培训、现场</w:t>
            </w:r>
            <w:r>
              <w:rPr>
                <w:rFonts w:hint="eastAsia" w:ascii="仿宋_GB2312" w:hAnsi="仿宋_GB2312" w:eastAsia="仿宋_GB2312" w:cs="仿宋_GB2312"/>
                <w:bCs/>
                <w:color w:val="auto"/>
                <w:sz w:val="24"/>
                <w:szCs w:val="24"/>
              </w:rPr>
              <w:t>告知牌等，</w:t>
            </w:r>
            <w:r>
              <w:rPr>
                <w:rFonts w:hint="eastAsia" w:ascii="仿宋_GB2312" w:hAnsi="仿宋_GB2312" w:eastAsia="仿宋_GB2312" w:cs="仿宋_GB2312"/>
                <w:color w:val="auto"/>
                <w:sz w:val="24"/>
                <w:szCs w:val="24"/>
              </w:rPr>
              <w:t>一项不符合扣5分。</w:t>
            </w:r>
          </w:p>
        </w:tc>
        <w:tc>
          <w:tcPr>
            <w:tcW w:w="2116" w:type="dxa"/>
            <w:gridSpan w:val="5"/>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bCs/>
                <w:color w:val="auto"/>
                <w:sz w:val="24"/>
                <w:szCs w:val="24"/>
              </w:rPr>
            </w:pPr>
            <w:r>
              <w:rPr>
                <w:rFonts w:hint="eastAsia" w:ascii="仿宋_GB2312" w:hAnsi="仿宋_GB2312" w:eastAsia="仿宋_GB2312" w:cs="仿宋_GB2312"/>
                <w:i w:val="0"/>
                <w:color w:val="auto"/>
                <w:kern w:val="0"/>
                <w:sz w:val="24"/>
                <w:szCs w:val="24"/>
                <w:u w:val="none"/>
                <w:lang w:val="en-US" w:eastAsia="zh-CN"/>
              </w:rPr>
              <w:t>现场危险化学品告知牌只设有汽油，未设柴油；扣5分。</w:t>
            </w:r>
          </w:p>
        </w:tc>
        <w:tc>
          <w:tcPr>
            <w:tcW w:w="617" w:type="dxa"/>
            <w:gridSpan w:val="6"/>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25</w:t>
            </w:r>
          </w:p>
        </w:tc>
        <w:tc>
          <w:tcPr>
            <w:tcW w:w="1826" w:type="dxa"/>
            <w:gridSpan w:val="2"/>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jc w:val="center"/>
        </w:trPr>
        <w:tc>
          <w:tcPr>
            <w:tcW w:w="14548" w:type="dxa"/>
            <w:gridSpan w:val="3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10、事故与应急（100）  （评审得分：74分）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w:t>
            </w:r>
          </w:p>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要素</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40"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598"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应急指挥与救援系统</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（10分）</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10.1.1.1建立应急救援队伍。</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1.未建立应急救援队伍，扣2分；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2.有关人员不清楚应急救援队伍组成，1人次扣2分；3.未明确各级应急指挥系统和救援队伍职责，一项不符合扣2分；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４.有关人员不了解其应急职责，1人次扣1分。</w:t>
            </w:r>
          </w:p>
        </w:tc>
        <w:tc>
          <w:tcPr>
            <w:tcW w:w="2140" w:type="dxa"/>
            <w:gridSpan w:val="6"/>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部分人员不清楚应急救援队伍组成；</w:t>
            </w:r>
            <w:r>
              <w:rPr>
                <w:rFonts w:hint="eastAsia" w:ascii="仿宋_GB2312" w:hAnsi="仿宋_GB2312" w:eastAsia="仿宋_GB2312" w:cs="仿宋_GB2312"/>
                <w:i w:val="0"/>
                <w:color w:val="auto"/>
                <w:kern w:val="0"/>
                <w:sz w:val="24"/>
                <w:szCs w:val="24"/>
                <w:u w:val="none"/>
                <w:lang w:val="en-US" w:eastAsia="zh-CN"/>
              </w:rPr>
              <w:br w:type="textWrapping"/>
            </w:r>
            <w:r>
              <w:rPr>
                <w:rFonts w:hint="eastAsia" w:ascii="仿宋_GB2312" w:hAnsi="仿宋_GB2312" w:eastAsia="仿宋_GB2312" w:cs="仿宋_GB2312"/>
                <w:i w:val="0"/>
                <w:color w:val="auto"/>
                <w:kern w:val="0"/>
                <w:sz w:val="24"/>
                <w:szCs w:val="24"/>
                <w:u w:val="none"/>
                <w:lang w:val="en-US" w:eastAsia="zh-CN"/>
              </w:rPr>
              <w:t>部分人员不了解其应急职责；扣7分。</w:t>
            </w:r>
          </w:p>
        </w:tc>
        <w:tc>
          <w:tcPr>
            <w:tcW w:w="598" w:type="dxa"/>
            <w:gridSpan w:val="5"/>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应急救援设施</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（15分）</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10.2.1.1.针对可能发生的事故类型，按照规定配备足够的应急救援器材、消防设施及器材；</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1.未配备足够的应急救援器材，消防设施及器材一项不符合扣1分；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2.未建立应急救援器材台账，扣1分；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3.未建立消防设施、器材台账，扣1分；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4.救援器材、消防设施及器材未定期检查维护，一项不符合扣1分；</w:t>
            </w:r>
          </w:p>
          <w:p>
            <w:pPr>
              <w:spacing w:beforeLines="20" w:afterLines="20"/>
              <w:ind w:left="34" w:hanging="33" w:hangingChars="14"/>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5.应急救援器材、消防设施及器材完整性不符合要求，一项扣2分。</w:t>
            </w:r>
          </w:p>
        </w:tc>
        <w:tc>
          <w:tcPr>
            <w:tcW w:w="2140"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消防设施、器材台账统计不全，未落实保管人员及放置地点等内容；应急救援设施定期检查记录不全；扣4分。</w:t>
            </w:r>
          </w:p>
        </w:tc>
        <w:tc>
          <w:tcPr>
            <w:tcW w:w="59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11</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10.2.1.2.建立应急救援器材、消防设施及器材台账； </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10.2.1.3.应急救援器材、消防设施及器材保持完好，方便易取；</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10.2.1.4.疏散通道、安全出口、消防通道符合规定，保持畅通。</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10.2.2.1.设置固定报警电话；</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1.未建立应急通讯网络，扣2分；加油站未设置固定报警电话，扣2分；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2.作业人员不了解内外部报警电话，1人次扣2分；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3.报警电话不能保证畅通，扣1分。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10.2.2.2.明确应急救援指挥和救援人员电话；</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10.2.2.3.明确外部救援单位联络电话；</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10.2.2.4.报警电话24小时畅通。</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应急救援预案与演练</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（25分）</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10.3.1.1.事故应急救援预案编制符合标准要求；</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未编制事故应急救援预案，扣25分（</w:t>
            </w:r>
            <w:r>
              <w:rPr>
                <w:rFonts w:hint="eastAsia" w:ascii="仿宋_GB2312" w:hAnsi="仿宋_GB2312" w:eastAsia="仿宋_GB2312" w:cs="仿宋_GB2312"/>
                <w:b/>
                <w:bCs/>
                <w:color w:val="auto"/>
                <w:sz w:val="24"/>
                <w:szCs w:val="24"/>
              </w:rPr>
              <w:t>B级要素否决项</w:t>
            </w:r>
            <w:r>
              <w:rPr>
                <w:rFonts w:hint="eastAsia" w:ascii="仿宋_GB2312" w:hAnsi="仿宋_GB2312" w:eastAsia="仿宋_GB2312" w:cs="仿宋_GB2312"/>
                <w:bCs/>
                <w:color w:val="auto"/>
                <w:sz w:val="24"/>
                <w:szCs w:val="24"/>
              </w:rPr>
              <w:t>）。</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1.应急救援预案不全，缺少一项内容扣2分。</w:t>
            </w:r>
          </w:p>
        </w:tc>
        <w:tc>
          <w:tcPr>
            <w:tcW w:w="2140"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现场处置方案未编制”站内交通事故预案““罩棚等建构筑物坍塌事故预案”；评审记录，后期处置、保障措施等需进一步完善，无修订记录；无现场处置方案演练记录；扣13分。</w:t>
            </w:r>
          </w:p>
        </w:tc>
        <w:tc>
          <w:tcPr>
            <w:tcW w:w="59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12</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10.3.1.2.根据风险评价结果，编制专项和现场处置预案，</w:t>
            </w:r>
            <w:r>
              <w:rPr>
                <w:rFonts w:hint="eastAsia" w:ascii="仿宋_GB2312" w:hAnsi="仿宋_GB2312" w:eastAsia="仿宋_GB2312" w:cs="仿宋_GB2312"/>
                <w:color w:val="auto"/>
                <w:sz w:val="24"/>
                <w:szCs w:val="24"/>
              </w:rPr>
              <w:t>至少但不局限于编制以下应急处置方案：(1) 汽油、柴油等化学品泄漏、火灾、爆炸；(2) 灭火预案；(3) 站内车辆交通事故预案；(4) 罩棚等建构筑物坍塌事故预案等。</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10.3.2.1.组织应急救援预案培训；</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1.未对从业人员进行应急救援预案培训，1人次扣1分；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2.未定期进行应急救援预案演练，扣2分；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10.3.2.2.综合应急救援预案每年至少组织一次演练，现场处置方案每半年至少组织一次演练。</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10.3.3.1将应急救援预案</w:t>
            </w:r>
            <w:r>
              <w:rPr>
                <w:rFonts w:hint="eastAsia" w:ascii="仿宋_GB2312" w:hAnsi="仿宋_GB2312" w:eastAsia="仿宋_GB2312" w:cs="仿宋_GB2312"/>
                <w:color w:val="auto"/>
                <w:spacing w:val="2"/>
                <w:sz w:val="24"/>
                <w:szCs w:val="24"/>
              </w:rPr>
              <w:t>报所在地设区的市级人民政府安全生产监督管理部门备案</w:t>
            </w:r>
            <w:r>
              <w:rPr>
                <w:rFonts w:hint="eastAsia" w:ascii="仿宋_GB2312" w:hAnsi="仿宋_GB2312" w:eastAsia="仿宋_GB2312" w:cs="仿宋_GB2312"/>
                <w:bCs/>
                <w:color w:val="auto"/>
                <w:sz w:val="24"/>
                <w:szCs w:val="24"/>
              </w:rPr>
              <w:t>。</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未及时备案，扣５分。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抢险与救护（20分）</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10.4.1.1.发生生产安全事故后，迅速启动应急救援预案；</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1.未明确有关人员职责，一项扣1分； </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2.相关人员不了解应急职责，1人次扣1分。</w:t>
            </w:r>
          </w:p>
        </w:tc>
        <w:tc>
          <w:tcPr>
            <w:tcW w:w="2140"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有两员工不了解抢救知识；扣2分。</w:t>
            </w:r>
          </w:p>
        </w:tc>
        <w:tc>
          <w:tcPr>
            <w:tcW w:w="59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18</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10.4.4.2.油站负责人直接指挥抢救，妥善处理</w:t>
            </w:r>
            <w:r>
              <w:rPr>
                <w:rFonts w:hint="eastAsia" w:ascii="仿宋_GB2312" w:hAnsi="仿宋_GB2312" w:eastAsia="仿宋_GB2312" w:cs="仿宋_GB2312"/>
                <w:color w:val="auto"/>
                <w:spacing w:val="-4"/>
                <w:sz w:val="24"/>
                <w:szCs w:val="24"/>
              </w:rPr>
              <w:t>，减少人员伤亡和财产损失</w:t>
            </w:r>
            <w:r>
              <w:rPr>
                <w:rFonts w:hint="eastAsia" w:ascii="仿宋_GB2312" w:hAnsi="仿宋_GB2312" w:eastAsia="仿宋_GB2312" w:cs="仿宋_GB2312"/>
                <w:bCs/>
                <w:color w:val="auto"/>
                <w:sz w:val="24"/>
                <w:szCs w:val="24"/>
              </w:rPr>
              <w:t>；</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10.4.4.3.安全管理人员协助现场抢救</w:t>
            </w:r>
            <w:r>
              <w:rPr>
                <w:rFonts w:hint="eastAsia" w:ascii="仿宋_GB2312" w:hAnsi="仿宋_GB2312" w:eastAsia="仿宋_GB2312" w:cs="仿宋_GB2312"/>
                <w:color w:val="auto"/>
                <w:spacing w:val="-4"/>
                <w:sz w:val="24"/>
                <w:szCs w:val="24"/>
              </w:rPr>
              <w:t>和警戒工作，保护事故现场</w:t>
            </w:r>
            <w:r>
              <w:rPr>
                <w:rFonts w:hint="eastAsia" w:ascii="仿宋_GB2312" w:hAnsi="仿宋_GB2312" w:eastAsia="仿宋_GB2312" w:cs="仿宋_GB2312"/>
                <w:bCs/>
                <w:color w:val="auto"/>
                <w:sz w:val="24"/>
                <w:szCs w:val="24"/>
              </w:rPr>
              <w:t>。</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10.4.2.1发生</w:t>
            </w:r>
            <w:r>
              <w:rPr>
                <w:rFonts w:hint="eastAsia" w:ascii="仿宋_GB2312" w:hAnsi="仿宋_GB2312" w:eastAsia="仿宋_GB2312" w:cs="仿宋_GB2312"/>
                <w:color w:val="auto"/>
                <w:sz w:val="24"/>
                <w:szCs w:val="24"/>
              </w:rPr>
              <w:t>有害物大量泄漏事故或火灾爆炸事故</w:t>
            </w:r>
            <w:r>
              <w:rPr>
                <w:rFonts w:hint="eastAsia" w:ascii="仿宋_GB2312" w:hAnsi="仿宋_GB2312" w:eastAsia="仿宋_GB2312" w:cs="仿宋_GB2312"/>
                <w:bCs/>
                <w:color w:val="auto"/>
                <w:sz w:val="24"/>
                <w:szCs w:val="24"/>
              </w:rPr>
              <w:t>时，及时设置警戒线。</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相关人员不了解应设警戒线的措施，1人次扣1分。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10.4.3.1.抢救人员应熟练使用相关防护器具；</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10.4.3.2.抢救人员应掌握</w:t>
            </w:r>
            <w:r>
              <w:rPr>
                <w:rFonts w:hint="eastAsia" w:ascii="仿宋_GB2312" w:hAnsi="仿宋_GB2312" w:eastAsia="仿宋_GB2312" w:cs="仿宋_GB2312"/>
                <w:color w:val="auto"/>
                <w:sz w:val="24"/>
                <w:szCs w:val="24"/>
              </w:rPr>
              <w:t>必要的急救知识，并经过急救技能培训</w:t>
            </w:r>
            <w:r>
              <w:rPr>
                <w:rFonts w:hint="eastAsia" w:ascii="仿宋_GB2312" w:hAnsi="仿宋_GB2312" w:eastAsia="仿宋_GB2312" w:cs="仿宋_GB2312"/>
                <w:bCs/>
                <w:color w:val="auto"/>
                <w:sz w:val="24"/>
                <w:szCs w:val="24"/>
              </w:rPr>
              <w:t>。</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1.抢救人员不会使用防护器具，1人扣2分；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2.抢救人员不了解抢救知识，1人次扣2分。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事故报告（15分）</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10.5.1.1.明确事故报告程序和事故报告的责任部门、责任人；</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1.未明确事故报告程序和事故报告的责任部门、责任人；扣2分。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2.从业人员不了解事故现场应采取的措施，1人次扣2分。</w:t>
            </w:r>
          </w:p>
        </w:tc>
        <w:tc>
          <w:tcPr>
            <w:tcW w:w="2140"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59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15</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10.5.1.2.发生事故，现场人员立即采取应急措施；</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10.5.1.3.发生事故后按程序报告；</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10.5.1.4.</w:t>
            </w:r>
            <w:r>
              <w:rPr>
                <w:rFonts w:hint="eastAsia" w:ascii="仿宋_GB2312" w:hAnsi="仿宋_GB2312" w:eastAsia="仿宋_GB2312" w:cs="仿宋_GB2312"/>
                <w:color w:val="auto"/>
                <w:sz w:val="24"/>
                <w:szCs w:val="24"/>
              </w:rPr>
              <w:t>情况紧急时，事故现场人员可以直接向有关部门报告。</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10.5.2.1负责人接到事故报告后，应当于1小时内向有关部门报告。</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存在事故瞒报、谎报、拖延不报现象的，扣100分(A级要素否决项)。</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负责人不了解事故报告的职责和时限，扣5分。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10.6</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事故调查（15分）</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10.6.1.1.发生事故，积极配合政府组织的事故调查；</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1.发生事故时，未积极配合政府组织的事故调查，扣2分；</w:t>
            </w:r>
          </w:p>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color w:val="auto"/>
                <w:spacing w:val="2"/>
                <w:sz w:val="24"/>
                <w:szCs w:val="24"/>
              </w:rPr>
              <w:t>事故调查期间，负责人和有关人员擅离职守，1人次扣4分；</w:t>
            </w:r>
          </w:p>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3.有关人员不清楚如何配合，1人次扣2分</w:t>
            </w:r>
            <w:r>
              <w:rPr>
                <w:rFonts w:hint="eastAsia" w:ascii="仿宋_GB2312" w:hAnsi="仿宋_GB2312" w:eastAsia="仿宋_GB2312" w:cs="仿宋_GB2312"/>
                <w:bCs/>
                <w:color w:val="auto"/>
                <w:sz w:val="24"/>
                <w:szCs w:val="24"/>
              </w:rPr>
              <w:t>。</w:t>
            </w:r>
          </w:p>
        </w:tc>
        <w:tc>
          <w:tcPr>
            <w:tcW w:w="2140" w:type="dxa"/>
            <w:gridSpan w:val="6"/>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_GB2312" w:hAnsi="仿宋_GB2312" w:eastAsia="仿宋_GB2312" w:cs="仿宋_GB2312"/>
                <w:color w:val="auto"/>
                <w:sz w:val="24"/>
                <w:szCs w:val="24"/>
              </w:rPr>
            </w:pPr>
          </w:p>
        </w:tc>
        <w:tc>
          <w:tcPr>
            <w:tcW w:w="598"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10</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10.6.1.2.</w:t>
            </w:r>
            <w:r>
              <w:rPr>
                <w:rFonts w:hint="eastAsia" w:ascii="仿宋_GB2312" w:hAnsi="仿宋_GB2312" w:eastAsia="仿宋_GB2312" w:cs="仿宋_GB2312"/>
                <w:color w:val="auto"/>
                <w:spacing w:val="2"/>
                <w:sz w:val="24"/>
                <w:szCs w:val="24"/>
              </w:rPr>
              <w:t>负责人和有关人员在事故调查期间不得擅离职守，应当随时接受事故调查组的调查，如实提供有关情况</w:t>
            </w:r>
            <w:r>
              <w:rPr>
                <w:rFonts w:hint="eastAsia" w:ascii="仿宋_GB2312" w:hAnsi="仿宋_GB2312" w:eastAsia="仿宋_GB2312" w:cs="仿宋_GB2312"/>
                <w:bCs/>
                <w:color w:val="auto"/>
                <w:sz w:val="24"/>
                <w:szCs w:val="24"/>
              </w:rPr>
              <w:t>。</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10.6.2.1.按规定成立事故调查组，必要时请上级部门或外部专家参加事故调查组；</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1.未按规定成立事故调查组，一项扣2分；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2.未按“四不放过”原则进行事故调查、处理，一项扣2分；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3.未及时提交事故调查报告，扣2分；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4．相关人员不清楚调查要求，1人次扣1分。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10.6.2.2.认真组织一般事故调查，按时提交事故调查报告。</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10.6.3.1.制定并落实事故整改和预防措施；</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1.未制定或未落实事故整改和预防措施，一项扣2分；</w:t>
            </w:r>
          </w:p>
          <w:p>
            <w:pPr>
              <w:spacing w:beforeLines="20" w:afterLines="20"/>
              <w:ind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2.事故整改、预防措施不具体，缺乏针对性和可操作性，一项扣1分。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10.6.3.2.事故整改和预防措施要具体，有针对性和可操作性；</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10.6.3.3.检查事故整改情况和预防措施落实情况。</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10.6.4.1.建立事故管理台账，包括未遂事故；</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1.未建立事故管理台账，扣5分；内容不符合要求，一项扣1分；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2.未建立事故管理档案，扣5分。</w:t>
            </w: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企业现场检查和文件档案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10.6.4.2.建立事故档案。</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598"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jc w:val="center"/>
        </w:trPr>
        <w:tc>
          <w:tcPr>
            <w:tcW w:w="14548" w:type="dxa"/>
            <w:gridSpan w:val="3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11、检查与自评（100）  （评审得分：80分）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w:t>
            </w:r>
          </w:p>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要素</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2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实得分</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安全检查（25）</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11.1.1.1明确各种安全检查的内容、频次和要求，开展安全检查。</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未明确各种安全检查的内容、频次和要求，缺少一项扣1分。</w:t>
            </w:r>
          </w:p>
        </w:tc>
        <w:tc>
          <w:tcPr>
            <w:tcW w:w="2121"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未制定安全检查计划；安全检查表缺1项；扣4分。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21</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11.1.2.1.制定安全检查计划，明确各种检查的目的、要求、内容和负责人；</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1.未制定安全检查计划，扣2分；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2.安全检查表不全，缺少一种扣2分。</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11.1.2.2.各种安全检查表内容全面。</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安全检查形式与内容（25）</w:t>
            </w: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11.2.1.1.根据安全检查计划，按相应检查表开展各种安全检查；</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1.未开展各种安全检查，一项不符合扣2分；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2.未建立安全检查台帐，扣2分；内容一项不符合扣1分；</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3.检查结果未与责任制挂钩，一项不符合扣1分。</w:t>
            </w:r>
          </w:p>
        </w:tc>
        <w:tc>
          <w:tcPr>
            <w:tcW w:w="2121"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节假日检查、季节性检查未见记录，综合检查和专业检查记录不全；2、安全检查记录不规范；扣12分。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13</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11.2.1.2.建立安全检查台帐；</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11.2.1.3.检查结果与责任制挂钩。</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11.2.2.2加油站综合性安全检查每月不少于1次。</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各种安全检查不符合标准要求，一项扣2分。</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整改（20）</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11.3.1.1.对检查出的问题</w:t>
            </w:r>
            <w:r>
              <w:rPr>
                <w:rFonts w:hint="eastAsia" w:ascii="仿宋_GB2312" w:hAnsi="仿宋_GB2312" w:eastAsia="仿宋_GB2312" w:cs="仿宋_GB2312"/>
                <w:color w:val="auto"/>
                <w:spacing w:val="-2"/>
                <w:sz w:val="24"/>
                <w:szCs w:val="24"/>
              </w:rPr>
              <w:t>进行原因分析，</w:t>
            </w:r>
            <w:r>
              <w:rPr>
                <w:rFonts w:hint="eastAsia" w:ascii="仿宋_GB2312" w:hAnsi="仿宋_GB2312" w:eastAsia="仿宋_GB2312" w:cs="仿宋_GB2312"/>
                <w:color w:val="auto"/>
                <w:sz w:val="24"/>
                <w:szCs w:val="24"/>
              </w:rPr>
              <w:t>及时进行整改；</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1.未对安全检查所查出的问题进行原因分析，一项扣1分；</w:t>
            </w:r>
          </w:p>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2.未对安全检查所查出的问题进行整改，一项扣2分；</w:t>
            </w:r>
          </w:p>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3.未对整改情况进行验证，一项扣2分；</w:t>
            </w:r>
          </w:p>
          <w:p>
            <w:pPr>
              <w:spacing w:beforeLines="20" w:afterLines="20"/>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4.未保存相应记录，一项扣2分。</w:t>
            </w:r>
          </w:p>
        </w:tc>
        <w:tc>
          <w:tcPr>
            <w:tcW w:w="2121"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部分日常检查出的问题未及时在检查表内反应，未保存相应的整改、验证等记录；扣4分。</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16</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11.3.1.2.对整改情况进行验证；</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pacing w:val="-2"/>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11.3.1.3.保存检查、整改和验证等相关记录。</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pacing w:val="-2"/>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11.3.2.1油站对各级组织检查出的问题和整改情况定期检查。</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未对检查出的问题和整改情况定期检查，扣4分。</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w:t>
            </w:r>
          </w:p>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自评（30）</w:t>
            </w: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11.4.1.1.明确自评时间；</w:t>
            </w:r>
          </w:p>
        </w:tc>
        <w:tc>
          <w:tcPr>
            <w:tcW w:w="4666" w:type="dxa"/>
            <w:gridSpan w:val="9"/>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未进行自评，扣100分（</w:t>
            </w:r>
            <w:r>
              <w:rPr>
                <w:rFonts w:hint="eastAsia" w:ascii="仿宋_GB2312" w:hAnsi="仿宋_GB2312" w:eastAsia="仿宋_GB2312" w:cs="仿宋_GB2312"/>
                <w:b/>
                <w:i/>
                <w:color w:val="auto"/>
                <w:sz w:val="24"/>
                <w:szCs w:val="24"/>
              </w:rPr>
              <w:t>A</w:t>
            </w:r>
            <w:r>
              <w:rPr>
                <w:rFonts w:hint="eastAsia" w:ascii="仿宋_GB2312" w:hAnsi="仿宋_GB2312" w:eastAsia="仿宋_GB2312" w:cs="仿宋_GB2312"/>
                <w:b/>
                <w:color w:val="auto"/>
                <w:sz w:val="24"/>
                <w:szCs w:val="24"/>
              </w:rPr>
              <w:t>级要素否决项</w:t>
            </w:r>
            <w:r>
              <w:rPr>
                <w:rFonts w:hint="eastAsia" w:ascii="仿宋_GB2312" w:hAnsi="仿宋_GB2312" w:eastAsia="仿宋_GB2312" w:cs="仿宋_GB2312"/>
                <w:color w:val="auto"/>
                <w:sz w:val="24"/>
                <w:szCs w:val="24"/>
              </w:rPr>
              <w:t>）。</w:t>
            </w:r>
          </w:p>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1.自评文件不全，一项不符合扣1分；</w:t>
            </w:r>
          </w:p>
          <w:p>
            <w:pPr>
              <w:spacing w:beforeLines="20" w:afterLines="2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2.未制定并落实进一步完善计划和措施，扣2分。</w:t>
            </w:r>
          </w:p>
        </w:tc>
        <w:tc>
          <w:tcPr>
            <w:tcW w:w="2121"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符合</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rPr>
              <w:t>30</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11.4.1.2.制定自评计划；</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11.4.1.3.编制自评检查表；</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11.4.1.4.建立自评组织；</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11.4.1.5.每年至少1次进行安全标准化自评；</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18" w:type="dxa"/>
            <w:gridSpan w:val="6"/>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17" w:type="dxa"/>
            <w:gridSpan w:val="3"/>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11.4.1.6.编制自评报告。</w:t>
            </w:r>
          </w:p>
        </w:tc>
        <w:tc>
          <w:tcPr>
            <w:tcW w:w="4666" w:type="dxa"/>
            <w:gridSpan w:val="9"/>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bCs/>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jc w:val="center"/>
        </w:trPr>
        <w:tc>
          <w:tcPr>
            <w:tcW w:w="14548" w:type="dxa"/>
            <w:gridSpan w:val="30"/>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 xml:space="preserve">12、本地区要求（100）  （评审得分：100分）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考核  要素</w:t>
            </w:r>
          </w:p>
        </w:tc>
        <w:tc>
          <w:tcPr>
            <w:tcW w:w="4434" w:type="dxa"/>
            <w:gridSpan w:val="4"/>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加油站达标标准</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评审标准</w:t>
            </w:r>
          </w:p>
        </w:tc>
        <w:tc>
          <w:tcPr>
            <w:tcW w:w="2121" w:type="dxa"/>
            <w:gridSpan w:val="5"/>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评审情况记录</w:t>
            </w:r>
          </w:p>
        </w:tc>
        <w:tc>
          <w:tcPr>
            <w:tcW w:w="617" w:type="dxa"/>
            <w:gridSpan w:val="6"/>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pacing w:val="-12"/>
                <w:sz w:val="24"/>
                <w:szCs w:val="24"/>
              </w:rPr>
              <w:t>实得分</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Lines="20" w:afterLines="2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评审依据的相关材料来源注明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restart"/>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12.1证照文书</w:t>
            </w: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12.1.1.1.取得工商部门核发企业《营业执照》</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restart"/>
            <w:tcBorders>
              <w:top w:val="single" w:color="auto" w:sz="4" w:space="0"/>
              <w:left w:val="single" w:color="auto" w:sz="4" w:space="0"/>
              <w:bottom w:val="single" w:color="auto" w:sz="4" w:space="0"/>
              <w:right w:val="single" w:color="auto" w:sz="4" w:space="0"/>
            </w:tcBorders>
            <w:vAlign w:val="top"/>
          </w:tcPr>
          <w:p>
            <w:pPr>
              <w:widowControl/>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符合</w:t>
            </w:r>
          </w:p>
        </w:tc>
        <w:tc>
          <w:tcPr>
            <w:tcW w:w="617" w:type="dxa"/>
            <w:gridSpan w:val="6"/>
            <w:vMerge w:val="restart"/>
            <w:tcBorders>
              <w:top w:val="single" w:color="auto" w:sz="4" w:space="0"/>
              <w:left w:val="single" w:color="auto" w:sz="4" w:space="0"/>
              <w:bottom w:val="single" w:color="auto" w:sz="4" w:space="0"/>
              <w:right w:val="single" w:color="auto" w:sz="4" w:space="0"/>
            </w:tcBorders>
            <w:vAlign w:val="top"/>
          </w:tcPr>
          <w:p>
            <w:pPr>
              <w:widowControl/>
              <w:jc w:val="center"/>
              <w:textAlignment w:val="top"/>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color w:val="auto"/>
                <w:kern w:val="0"/>
                <w:sz w:val="24"/>
                <w:szCs w:val="24"/>
              </w:rPr>
              <w:t>100</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企业文件档案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12.1.1.2.《建筑工程消防验收意见书》或《消防复查意见书》</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12.1.13.《广东省防雷装置合格证》（县级以上防雷设施检测所核发）。爆炸危险环境的防雷装置每半年测一次。</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12.1.1.4.《危险化学品经营许可证》</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12.1.1.5.《成品油零售经营批准证书》或规划确认文件</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17" w:type="dxa"/>
          <w:jc w:val="center"/>
        </w:trPr>
        <w:tc>
          <w:tcPr>
            <w:tcW w:w="901" w:type="dxa"/>
            <w:gridSpan w:val="5"/>
            <w:vMerge w:val="continue"/>
            <w:tcBorders>
              <w:top w:val="single" w:color="auto" w:sz="4" w:space="0"/>
              <w:left w:val="single" w:color="auto" w:sz="4" w:space="0"/>
              <w:bottom w:val="single" w:color="auto" w:sz="4" w:space="0"/>
              <w:right w:val="single" w:color="auto" w:sz="4" w:space="0"/>
            </w:tcBorders>
            <w:vAlign w:val="top"/>
          </w:tcPr>
          <w:p>
            <w:pPr>
              <w:spacing w:beforeLines="20" w:afterLines="20"/>
              <w:jc w:val="center"/>
              <w:rPr>
                <w:rFonts w:hint="eastAsia" w:ascii="仿宋_GB2312" w:hAnsi="仿宋_GB2312" w:eastAsia="仿宋_GB2312" w:cs="仿宋_GB2312"/>
                <w:color w:val="auto"/>
                <w:sz w:val="24"/>
                <w:szCs w:val="24"/>
              </w:rPr>
            </w:pPr>
          </w:p>
        </w:tc>
        <w:tc>
          <w:tcPr>
            <w:tcW w:w="4434" w:type="dxa"/>
            <w:gridSpan w:val="4"/>
            <w:tcBorders>
              <w:top w:val="single" w:color="auto" w:sz="4" w:space="0"/>
              <w:left w:val="single" w:color="auto" w:sz="4" w:space="0"/>
              <w:bottom w:val="single" w:color="auto" w:sz="4" w:space="0"/>
              <w:right w:val="single" w:color="auto" w:sz="4" w:space="0"/>
            </w:tcBorders>
            <w:vAlign w:val="top"/>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12.1.1.6．加油站产权或租赁证明文件</w:t>
            </w:r>
          </w:p>
        </w:tc>
        <w:tc>
          <w:tcPr>
            <w:tcW w:w="4666" w:type="dxa"/>
            <w:gridSpan w:val="9"/>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缺项扣100分（</w:t>
            </w:r>
            <w:r>
              <w:rPr>
                <w:rFonts w:hint="eastAsia" w:ascii="仿宋_GB2312" w:hAnsi="仿宋_GB2312" w:eastAsia="仿宋_GB2312" w:cs="仿宋_GB2312"/>
                <w:b/>
                <w:bCs/>
                <w:color w:val="auto"/>
                <w:kern w:val="0"/>
                <w:sz w:val="24"/>
                <w:szCs w:val="24"/>
              </w:rPr>
              <w:t>A级要素否决项</w:t>
            </w:r>
            <w:r>
              <w:rPr>
                <w:rFonts w:hint="eastAsia" w:ascii="仿宋_GB2312" w:hAnsi="仿宋_GB2312" w:eastAsia="仿宋_GB2312" w:cs="仿宋_GB2312"/>
                <w:bCs/>
                <w:color w:val="auto"/>
                <w:kern w:val="0"/>
                <w:sz w:val="24"/>
                <w:szCs w:val="24"/>
              </w:rPr>
              <w:t>）</w:t>
            </w:r>
          </w:p>
        </w:tc>
        <w:tc>
          <w:tcPr>
            <w:tcW w:w="2121" w:type="dxa"/>
            <w:gridSpan w:val="5"/>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617" w:type="dxa"/>
            <w:gridSpan w:val="6"/>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rPr>
                <w:rFonts w:hint="eastAsia" w:ascii="仿宋_GB2312" w:hAnsi="仿宋_GB2312" w:eastAsia="仿宋_GB2312" w:cs="仿宋_GB2312"/>
                <w:color w:val="auto"/>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pacing w:beforeLines="20" w:afterLines="20"/>
              <w:ind w:firstLine="120" w:firstLineChars="50"/>
              <w:rPr>
                <w:rFonts w:hint="eastAsia" w:ascii="仿宋_GB2312" w:hAnsi="仿宋_GB2312" w:eastAsia="仿宋_GB2312" w:cs="仿宋_GB2312"/>
                <w:color w:val="auto"/>
                <w:sz w:val="24"/>
                <w:szCs w:val="24"/>
              </w:rPr>
            </w:pPr>
          </w:p>
        </w:tc>
      </w:tr>
    </w:tbl>
    <w:p>
      <w:pPr>
        <w:rPr>
          <w:rFonts w:hint="eastAsia"/>
          <w:lang w:eastAsia="zh-CN"/>
        </w:rPr>
      </w:pPr>
    </w:p>
    <w:sectPr>
      <w:pgSz w:w="16838" w:h="11906" w:orient="landscape"/>
      <w:pgMar w:top="1179" w:right="1157" w:bottom="1179" w:left="1157"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44415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page number"/>
    <w:basedOn w:val="2"/>
    <w:uiPriority w:val="0"/>
    <w:rPr>
      <w:rFonts w:cs="Times New Roman"/>
    </w:rPr>
  </w:style>
  <w:style w:type="character" w:customStyle="1" w:styleId="5">
    <w:name w:val="正文1"/>
    <w:basedOn w:val="2"/>
    <w:qFormat/>
    <w:uiPriority w:val="0"/>
    <w:rPr>
      <w:rFonts w:ascii="宋体" w:hAnsi="宋体" w:eastAsia="宋体" w:cs="Times New Roman"/>
      <w:sz w:val="22"/>
      <w:szCs w:val="22"/>
    </w:rPr>
  </w:style>
  <w:style w:type="character" w:customStyle="1" w:styleId="6">
    <w:name w:val="font141"/>
    <w:basedOn w:val="2"/>
    <w:uiPriority w:val="0"/>
    <w:rPr>
      <w:rFonts w:cs="Times New Roman"/>
      <w:color w:val="333333"/>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2017-06-09T05:55:00Z</dcterms:created>
  <dc:creator>Administrator</dc:creator>
  <cp:lastModifiedBy>Administrator</cp:lastModifiedBy>
  <dcterms:modified xsi:type="dcterms:W3CDTF">2017-06-09T04:49:29Z</dcterms:modified>
  <dc:title>Administrator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